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9ED" w:rsidRPr="00C279ED" w:rsidRDefault="00C279ED" w:rsidP="00C279ED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C279ED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关于组织申报2019年度首超亿元企业奖励的通知</w:t>
      </w:r>
    </w:p>
    <w:p w:rsidR="00C279ED" w:rsidRPr="00C279ED" w:rsidRDefault="00C279ED" w:rsidP="00C279ED">
      <w:pPr>
        <w:widowControl/>
        <w:spacing w:line="560" w:lineRule="atLeast"/>
        <w:jc w:val="left"/>
        <w:rPr>
          <w:rFonts w:ascii="PingFangSC-Regular" w:eastAsia="PingFangSC-Regular" w:hAnsi="PingFangSC-Regular" w:cs="宋体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各乡镇（街道）经济发展办、各企业：</w:t>
      </w:r>
    </w:p>
    <w:p w:rsidR="00C279ED" w:rsidRPr="00C279ED" w:rsidRDefault="00C279ED" w:rsidP="00C279ED">
      <w:pPr>
        <w:widowControl/>
        <w:spacing w:line="560" w:lineRule="atLeast"/>
        <w:ind w:firstLine="645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根据《关于进一步推进工业企业转型升级</w:t>
      </w: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</w:t>
      </w: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加快实体经济健康发展的若干意见》（婺区委〔2018〕4号）文件精神，决定组织申报2019年度首超亿元企业奖励。现将有关事项通知如下：</w:t>
      </w:r>
    </w:p>
    <w:p w:rsidR="00C279ED" w:rsidRPr="00C279ED" w:rsidRDefault="00C279ED" w:rsidP="00C279ED">
      <w:pPr>
        <w:widowControl/>
        <w:spacing w:line="560" w:lineRule="atLeast"/>
        <w:ind w:left="1152" w:hanging="720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一、</w:t>
      </w: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</w:t>
      </w: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申报范围及对象</w:t>
      </w:r>
    </w:p>
    <w:p w:rsidR="00C279ED" w:rsidRPr="00C279ED" w:rsidRDefault="00C279ED" w:rsidP="00C279ED">
      <w:pPr>
        <w:widowControl/>
        <w:spacing w:line="560" w:lineRule="atLeast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   </w:t>
      </w: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注册在婺城区的工业企业。</w:t>
      </w:r>
    </w:p>
    <w:p w:rsidR="00C279ED" w:rsidRPr="00C279ED" w:rsidRDefault="00C279ED" w:rsidP="00C279ED">
      <w:pPr>
        <w:widowControl/>
        <w:spacing w:line="560" w:lineRule="atLeast"/>
        <w:ind w:firstLine="474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二、申报条件</w:t>
      </w:r>
    </w:p>
    <w:p w:rsidR="00C279ED" w:rsidRPr="00C279ED" w:rsidRDefault="00C279ED" w:rsidP="00C279ED">
      <w:pPr>
        <w:widowControl/>
        <w:spacing w:line="560" w:lineRule="atLeast"/>
        <w:ind w:firstLine="474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1.企业发展前景良好，符合省、市、区产业发展导向；</w:t>
      </w:r>
    </w:p>
    <w:p w:rsidR="00C279ED" w:rsidRPr="00C279ED" w:rsidRDefault="00C279ED" w:rsidP="00C279ED">
      <w:pPr>
        <w:widowControl/>
        <w:spacing w:line="560" w:lineRule="atLeast"/>
        <w:ind w:firstLine="474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2.企业2019年当年销售收入首次达到1亿元、3亿元、5亿元、10亿元、20亿元、50亿元，且同比增长10%以上的企业，分别给予一次性奖励10万元、15万元、20万元、30万元、60万元和100万元。(申报企业必须同时符合销售收入和同比增长两个条件)</w:t>
      </w:r>
    </w:p>
    <w:p w:rsidR="00C279ED" w:rsidRPr="00C279ED" w:rsidRDefault="00C279ED" w:rsidP="00C279ED">
      <w:pPr>
        <w:widowControl/>
        <w:spacing w:line="560" w:lineRule="atLeast"/>
        <w:ind w:firstLine="474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三、申报材料</w:t>
      </w:r>
    </w:p>
    <w:p w:rsidR="00C279ED" w:rsidRPr="00C279ED" w:rsidRDefault="00C279ED" w:rsidP="00C279ED">
      <w:pPr>
        <w:widowControl/>
        <w:spacing w:line="560" w:lineRule="atLeast"/>
        <w:ind w:firstLine="632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1．2019年度首超亿元企业奖励申报表；</w:t>
      </w:r>
    </w:p>
    <w:p w:rsidR="00C279ED" w:rsidRPr="00C279ED" w:rsidRDefault="00C279ED" w:rsidP="00C279ED">
      <w:pPr>
        <w:widowControl/>
        <w:spacing w:line="560" w:lineRule="atLeast"/>
        <w:ind w:firstLine="632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2. 2018、2019年度审计报告；</w:t>
      </w:r>
    </w:p>
    <w:p w:rsidR="00C279ED" w:rsidRPr="00C279ED" w:rsidRDefault="00C279ED" w:rsidP="00C279ED">
      <w:pPr>
        <w:widowControl/>
        <w:spacing w:line="560" w:lineRule="atLeast"/>
        <w:ind w:firstLine="632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以上所有材料一式两份。</w:t>
      </w:r>
    </w:p>
    <w:p w:rsidR="00C279ED" w:rsidRPr="00C279ED" w:rsidRDefault="00C279ED" w:rsidP="00C279ED">
      <w:pPr>
        <w:widowControl/>
        <w:spacing w:line="560" w:lineRule="atLeast"/>
        <w:ind w:firstLine="632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四、申报时间及流程</w:t>
      </w:r>
    </w:p>
    <w:p w:rsidR="00C279ED" w:rsidRPr="00C279ED" w:rsidRDefault="00C279ED" w:rsidP="00C279ED">
      <w:pPr>
        <w:widowControl/>
        <w:spacing w:line="560" w:lineRule="atLeast"/>
        <w:ind w:firstLine="632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1.申报时间：2020年4月20日前。</w:t>
      </w:r>
    </w:p>
    <w:p w:rsidR="00C279ED" w:rsidRPr="00C279ED" w:rsidRDefault="00C279ED" w:rsidP="00C279ED">
      <w:pPr>
        <w:widowControl/>
        <w:spacing w:line="560" w:lineRule="atLeast"/>
        <w:ind w:firstLine="632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lastRenderedPageBreak/>
        <w:t>2.申报流程：请各乡镇（街道）积极组织企业申报，认真审核，并出具意见。各乡镇（街道）将企业申报材料汇总后上报至区经商局企业科。</w:t>
      </w:r>
    </w:p>
    <w:p w:rsidR="00C279ED" w:rsidRPr="00C279ED" w:rsidRDefault="00C279ED" w:rsidP="00C279ED">
      <w:pPr>
        <w:widowControl/>
        <w:spacing w:line="560" w:lineRule="atLeast"/>
        <w:ind w:firstLine="632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请各企业确保申报材料的真实性。对弄虚作假骗取财政专项资金的，一经发现将扣回资金，并追究有关人员责任，同时在3年内取消该企业申报财政专项资金的资格。</w:t>
      </w:r>
    </w:p>
    <w:p w:rsidR="00C279ED" w:rsidRPr="00C279ED" w:rsidRDefault="00C279ED" w:rsidP="00C279ED">
      <w:pPr>
        <w:widowControl/>
        <w:spacing w:line="560" w:lineRule="atLeast"/>
        <w:ind w:firstLine="645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联系人：王硕，82316436；吴岑，82227580。</w:t>
      </w:r>
    </w:p>
    <w:p w:rsidR="00C279ED" w:rsidRPr="00C279ED" w:rsidRDefault="00C279ED" w:rsidP="00C279ED">
      <w:pPr>
        <w:widowControl/>
        <w:spacing w:line="560" w:lineRule="atLeast"/>
        <w:ind w:firstLine="645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             </w:t>
      </w:r>
    </w:p>
    <w:p w:rsidR="00C279ED" w:rsidRPr="00C279ED" w:rsidRDefault="00C279ED" w:rsidP="00C279ED">
      <w:pPr>
        <w:widowControl/>
        <w:spacing w:line="460" w:lineRule="atLeast"/>
        <w:jc w:val="center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     </w:t>
      </w:r>
    </w:p>
    <w:p w:rsidR="00C279ED" w:rsidRPr="00C279ED" w:rsidRDefault="00C279ED" w:rsidP="00C279ED">
      <w:pPr>
        <w:widowControl/>
        <w:spacing w:line="600" w:lineRule="atLeast"/>
        <w:ind w:left="1890" w:hanging="1264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     </w:t>
      </w:r>
    </w:p>
    <w:p w:rsidR="00C279ED" w:rsidRPr="00C279ED" w:rsidRDefault="00C279ED" w:rsidP="00C279ED">
      <w:pPr>
        <w:widowControl/>
        <w:spacing w:line="600" w:lineRule="atLeast"/>
        <w:ind w:left="1881" w:hanging="316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</w:t>
      </w:r>
    </w:p>
    <w:p w:rsidR="00C279ED" w:rsidRPr="00C279ED" w:rsidRDefault="00C279ED" w:rsidP="00C279ED">
      <w:pPr>
        <w:widowControl/>
        <w:spacing w:line="600" w:lineRule="atLeast"/>
        <w:ind w:left="1881" w:hanging="316"/>
        <w:jc w:val="lef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</w:t>
      </w:r>
    </w:p>
    <w:p w:rsidR="00C279ED" w:rsidRPr="00C279ED" w:rsidRDefault="00C279ED" w:rsidP="00C279ED">
      <w:pPr>
        <w:widowControl/>
        <w:spacing w:line="600" w:lineRule="atLeast"/>
        <w:ind w:left="1881" w:hanging="316"/>
        <w:jc w:val="righ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金华市婺城区经济商务局</w:t>
      </w:r>
    </w:p>
    <w:p w:rsidR="00C279ED" w:rsidRPr="00C279ED" w:rsidRDefault="00C279ED" w:rsidP="00C279ED">
      <w:pPr>
        <w:widowControl/>
        <w:spacing w:line="525" w:lineRule="atLeast"/>
        <w:jc w:val="right"/>
        <w:rPr>
          <w:rFonts w:ascii="PingFangSC-Regular" w:eastAsia="PingFangSC-Regular" w:hAnsi="PingFangSC-Regular" w:cs="宋体" w:hint="eastAsia"/>
          <w:color w:val="000000"/>
          <w:spacing w:val="8"/>
          <w:kern w:val="0"/>
          <w:sz w:val="27"/>
          <w:szCs w:val="27"/>
        </w:rPr>
      </w:pP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                                 </w:t>
      </w:r>
      <w:r w:rsidRPr="00C279ED">
        <w:rPr>
          <w:rFonts w:ascii="仿宋_GB2312" w:eastAsia="仿宋_GB2312" w:hAnsi="PingFangSC-Regular" w:cs="宋体" w:hint="eastAsia"/>
          <w:color w:val="000000"/>
          <w:spacing w:val="8"/>
          <w:kern w:val="0"/>
          <w:sz w:val="32"/>
          <w:szCs w:val="32"/>
        </w:rPr>
        <w:t>2020年3月31日</w:t>
      </w:r>
    </w:p>
    <w:p w:rsidR="00C279ED" w:rsidRPr="00C279ED" w:rsidRDefault="00C279ED" w:rsidP="00C279ED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:rsidR="00C63CFE" w:rsidRPr="00C279ED" w:rsidRDefault="00C63CFE"/>
    <w:sectPr w:rsidR="00C63CFE" w:rsidRPr="00C27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PingFangSC-Regular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FE"/>
    <w:rsid w:val="001F5A91"/>
    <w:rsid w:val="00475F3A"/>
    <w:rsid w:val="005047BF"/>
    <w:rsid w:val="00556E56"/>
    <w:rsid w:val="007E5A36"/>
    <w:rsid w:val="007F2AF2"/>
    <w:rsid w:val="00913E0A"/>
    <w:rsid w:val="00972FF8"/>
    <w:rsid w:val="00C279ED"/>
    <w:rsid w:val="00C63CFE"/>
    <w:rsid w:val="00CC4D23"/>
    <w:rsid w:val="00D6669A"/>
    <w:rsid w:val="00DD4ED8"/>
    <w:rsid w:val="00E51C7B"/>
    <w:rsid w:val="00F55C36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E863B"/>
  <w15:chartTrackingRefBased/>
  <w15:docId w15:val="{CD80E9B7-7379-254E-8CD0-C672BDA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4E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C63C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63CF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913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913E0A"/>
  </w:style>
  <w:style w:type="character" w:styleId="a3">
    <w:name w:val="Hyperlink"/>
    <w:basedOn w:val="a0"/>
    <w:uiPriority w:val="99"/>
    <w:semiHidden/>
    <w:unhideWhenUsed/>
    <w:rsid w:val="00FC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A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1F5A91"/>
  </w:style>
  <w:style w:type="character" w:styleId="a5">
    <w:name w:val="Strong"/>
    <w:basedOn w:val="a0"/>
    <w:uiPriority w:val="22"/>
    <w:qFormat/>
    <w:rsid w:val="005047BF"/>
    <w:rPr>
      <w:b/>
      <w:bCs/>
    </w:rPr>
  </w:style>
  <w:style w:type="character" w:customStyle="1" w:styleId="10">
    <w:name w:val="标题 1 字符"/>
    <w:basedOn w:val="a0"/>
    <w:link w:val="1"/>
    <w:uiPriority w:val="9"/>
    <w:rsid w:val="00DD4ED8"/>
    <w:rPr>
      <w:b/>
      <w:bCs/>
      <w:kern w:val="44"/>
      <w:sz w:val="44"/>
      <w:szCs w:val="44"/>
    </w:rPr>
  </w:style>
  <w:style w:type="paragraph" w:styleId="a6">
    <w:name w:val="Body Text"/>
    <w:basedOn w:val="a"/>
    <w:link w:val="a7"/>
    <w:uiPriority w:val="99"/>
    <w:semiHidden/>
    <w:unhideWhenUsed/>
    <w:rsid w:val="00475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7">
    <w:name w:val="正文文本 字符"/>
    <w:basedOn w:val="a0"/>
    <w:link w:val="a6"/>
    <w:uiPriority w:val="99"/>
    <w:semiHidden/>
    <w:rsid w:val="00475F3A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2020-10-26T01:21:00Z</dcterms:created>
  <dcterms:modified xsi:type="dcterms:W3CDTF">2020-10-26T06:42:00Z</dcterms:modified>
</cp:coreProperties>
</file>