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B29" w:rsidRPr="00C37B29" w:rsidRDefault="00C37B29" w:rsidP="00C37B29">
      <w:pPr>
        <w:widowControl/>
        <w:spacing w:before="150" w:after="150" w:line="600" w:lineRule="atLeast"/>
        <w:jc w:val="center"/>
        <w:outlineLvl w:val="1"/>
        <w:rPr>
          <w:rFonts w:ascii="inherit" w:eastAsia="微软雅黑" w:hAnsi="inherit" w:cs="宋体" w:hint="eastAsia"/>
          <w:color w:val="000000"/>
          <w:kern w:val="0"/>
          <w:sz w:val="38"/>
          <w:szCs w:val="38"/>
        </w:rPr>
      </w:pPr>
      <w:bookmarkStart w:id="0" w:name="_GoBack"/>
      <w:bookmarkEnd w:id="0"/>
      <w:r w:rsidRPr="00C37B29">
        <w:rPr>
          <w:rFonts w:ascii="inherit" w:eastAsia="微软雅黑" w:hAnsi="inherit" w:cs="宋体"/>
          <w:color w:val="000000"/>
          <w:kern w:val="0"/>
          <w:sz w:val="38"/>
          <w:szCs w:val="38"/>
        </w:rPr>
        <w:t>上海市促进服务外包产业发展专项资金</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一、资金来源</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本市促进服务外包产业发展专项资金（以下简称“服务外包专项资金”），由市服务业发展引导资金中安排，专项用于全市服务外包产业发展的补助性资金，并鼓励各区（县）结合实际，安排支持服务外包产业发展配套资金。</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二、资金支持的领域和重点</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重点支持离岸、高端、总部型服务外包发展。具体用于以下方面：</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支持服务外包人才培训、引导服务外包企业取得国际资质认证、开拓国际市场、鼓励建立服务外包培训基地和实训基地、鼓励总部型服务外包企业在上海发展、鼓励外包企业在海外设点、推进服务外包公共服务平台建设等。</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三、支持方式和标准</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（一）支持服务外包人才培训</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1、鼓励服务外包企业开展人才培训</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对已获国家服务外包人才培训专项资金支持的本市企业，在国家给予支持资金的基础上，按国家核准的人才培训支持人数，每新录用1名大学（含大专）以上学历员工从事服务外包工作并签订1年以上《劳动合同》，给予企业每人不超过2000元人民币的定额培训支持。对其中列入本市重点服务外包企业名录的企业，给予每人不超过2500元人民币的定额培训支持。</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lastRenderedPageBreak/>
        <w:t xml:space="preserve">　　对被录用人员提前解除合同，并在原合同规定的一年期内，与其他服务外包企业或原企业签订新的《劳动合同》的，不再给予上述企业定额培训支持。</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2、鼓励培训机构从事服务外包人才培训</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对已获国家服务外包人才培训资金支持的本市服务外包培训机构，在国家给予支持资金的基础上，按照国家核准的人才培训支持人数，每培训1名从事服务外包业务人才（大专以上学历），通过服务外包专业知识和技能培训考核，并与服务外包企业签订1年以上《劳动合同》，给予培训机构每人不超过200元人民币的定额培训支持。</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（二）引导服务外包企业取得国际资质认证</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对2011年未获国家服务外包专项资金支持的本市服务外包企业取得的开发能力成熟度模型集成（CMMI）、开发能力成熟度模型（CMM）、人力资源成熟度模型（PCMM）、信息安全管理（ISO27001/BS7799）、IT服务管理（ISO20000）、服务提供</w:t>
      </w:r>
      <w:proofErr w:type="gramStart"/>
      <w:r w:rsidRPr="00C37B29">
        <w:rPr>
          <w:rFonts w:ascii="微软雅黑" w:eastAsia="微软雅黑" w:hAnsi="微软雅黑" w:cs="宋体" w:hint="eastAsia"/>
          <w:color w:val="333333"/>
          <w:kern w:val="0"/>
          <w:szCs w:val="24"/>
        </w:rPr>
        <w:t>商环境</w:t>
      </w:r>
      <w:proofErr w:type="gramEnd"/>
      <w:r w:rsidRPr="00C37B29">
        <w:rPr>
          <w:rFonts w:ascii="微软雅黑" w:eastAsia="微软雅黑" w:hAnsi="微软雅黑" w:cs="宋体" w:hint="eastAsia"/>
          <w:color w:val="333333"/>
          <w:kern w:val="0"/>
          <w:szCs w:val="24"/>
        </w:rPr>
        <w:t>安全性（SAS70）、质量管理标准（ISO9001）、实验室管理标准（ISO17025/JISQ17025）、国际实验动物评估和认可委员会认证（AAALAC）、优良实验室规范（GLP）、信息技术基础架构库认证（ITIL）、客户服务中心认证（COPC）、环球同业银行金融电讯协会认证（SWIFT）等相关认证及认证的系列维护、升级给予支持。每个企业每年最多可申报3个认证项目，每个项目按照不超过认证项目实际发生费用的30％给予支持，最高不超过30万元人民币。</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（三）鼓励服务外包企业开拓国际市场</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lastRenderedPageBreak/>
        <w:t xml:space="preserve">　　本市服务外包企业参加国际性服务外包展览会、服务外包博览会（须经市商务委、市发展改革委和市财政局认可），按照不超过企业实际参展费用的30％给予补贴。每个企业每年限报一个项目。单个项目最高补助不超过10万元人民币。</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（四）鼓励建立服务外包培训基地和实训基地</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对每年接受服务外包实习生20名以上，并与相关大专院校签订两年以上实习生实</w:t>
      </w:r>
      <w:proofErr w:type="gramStart"/>
      <w:r w:rsidRPr="00C37B29">
        <w:rPr>
          <w:rFonts w:ascii="微软雅黑" w:eastAsia="微软雅黑" w:hAnsi="微软雅黑" w:cs="宋体" w:hint="eastAsia"/>
          <w:color w:val="333333"/>
          <w:kern w:val="0"/>
          <w:szCs w:val="24"/>
        </w:rPr>
        <w:t>训协议</w:t>
      </w:r>
      <w:proofErr w:type="gramEnd"/>
      <w:r w:rsidRPr="00C37B29">
        <w:rPr>
          <w:rFonts w:ascii="微软雅黑" w:eastAsia="微软雅黑" w:hAnsi="微软雅黑" w:cs="宋体" w:hint="eastAsia"/>
          <w:color w:val="333333"/>
          <w:kern w:val="0"/>
          <w:szCs w:val="24"/>
        </w:rPr>
        <w:t>的服务外包企业，按照每接受一名在校学生（大专以上学历、实习期3个月以上），给予企业每人1500元人民币的补贴。</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（五）鼓励总部型服务外包企业在上海发展</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对2008年以后设立，资产总额不低于10亿元人民币，注册资本不低于5000万元人民币，境内外投资注册的分支机构不少于3个的总部型服务外包企业，给予不超过100万元人民币的一次性开办费支持。</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（六）鼓励服务外包企业在海外设点开拓新兴市场</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鼓励服务外包企业积极承接离岸外包业务，对于在海外设立办事处或分支机构的企业，给予每个办事处或分支机构一次性开办费10万元的支持（不超过办事处首期总投入或分支机构注册资本的50%），每个企业获得的开办</w:t>
      </w:r>
      <w:proofErr w:type="gramStart"/>
      <w:r w:rsidRPr="00C37B29">
        <w:rPr>
          <w:rFonts w:ascii="微软雅黑" w:eastAsia="微软雅黑" w:hAnsi="微软雅黑" w:cs="宋体" w:hint="eastAsia"/>
          <w:color w:val="333333"/>
          <w:kern w:val="0"/>
          <w:szCs w:val="24"/>
        </w:rPr>
        <w:t>费支持</w:t>
      </w:r>
      <w:proofErr w:type="gramEnd"/>
      <w:r w:rsidRPr="00C37B29">
        <w:rPr>
          <w:rFonts w:ascii="微软雅黑" w:eastAsia="微软雅黑" w:hAnsi="微软雅黑" w:cs="宋体" w:hint="eastAsia"/>
          <w:color w:val="333333"/>
          <w:kern w:val="0"/>
          <w:szCs w:val="24"/>
        </w:rPr>
        <w:t>最高为30万元。</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（七）推进服务外包公共服务平台建设</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lastRenderedPageBreak/>
        <w:t xml:space="preserve">　　对建设本市服务外包公共服务平台（包括技术、信息、培训、研究、知识产权保护和统计等公共服务平台），按照《上海市服务业发展引导资金使用和管理办法》有关规定给予支持。</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（八）已由其他市级财政资金支持的项目不得重复申请。</w:t>
      </w:r>
    </w:p>
    <w:p w:rsidR="00C37B29" w:rsidRPr="00C37B29" w:rsidRDefault="00C37B29" w:rsidP="00C37B29">
      <w:pPr>
        <w:widowControl/>
        <w:spacing w:after="150" w:line="432" w:lineRule="atLeast"/>
        <w:jc w:val="left"/>
        <w:rPr>
          <w:rFonts w:ascii="微软雅黑" w:eastAsia="微软雅黑" w:hAnsi="微软雅黑" w:cs="宋体"/>
          <w:color w:val="333333"/>
          <w:kern w:val="0"/>
          <w:szCs w:val="24"/>
        </w:rPr>
      </w:pPr>
      <w:r w:rsidRPr="00C37B29">
        <w:rPr>
          <w:rFonts w:ascii="微软雅黑" w:eastAsia="微软雅黑" w:hAnsi="微软雅黑" w:cs="宋体" w:hint="eastAsia"/>
          <w:color w:val="333333"/>
          <w:kern w:val="0"/>
          <w:szCs w:val="24"/>
        </w:rPr>
        <w:t xml:space="preserve">　　（九）上述第（一）至第（四）项以及（六）项，由市级服务外包专项资金给予支持；第（五）项由市级服务外包专项资金和区、县财政各承担50%。</w:t>
      </w:r>
    </w:p>
    <w:p w:rsidR="00650BB8" w:rsidRDefault="00155B91"/>
    <w:sectPr w:rsidR="00650B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05982"/>
    <w:multiLevelType w:val="multilevel"/>
    <w:tmpl w:val="0D5C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C5B26"/>
    <w:multiLevelType w:val="multilevel"/>
    <w:tmpl w:val="3A86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1E4EB9"/>
    <w:multiLevelType w:val="multilevel"/>
    <w:tmpl w:val="C3F4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24"/>
    <w:rsid w:val="00155B91"/>
    <w:rsid w:val="001F7137"/>
    <w:rsid w:val="00392DEA"/>
    <w:rsid w:val="00551BE2"/>
    <w:rsid w:val="00672B93"/>
    <w:rsid w:val="00AA1024"/>
    <w:rsid w:val="00C37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89F8F-EC14-4883-A314-00C9F0EE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DEA"/>
    <w:pPr>
      <w:widowControl w:val="0"/>
      <w:spacing w:line="360" w:lineRule="auto"/>
      <w:jc w:val="both"/>
    </w:pPr>
    <w:rPr>
      <w:sz w:val="24"/>
    </w:rPr>
  </w:style>
  <w:style w:type="paragraph" w:styleId="1">
    <w:name w:val="heading 1"/>
    <w:basedOn w:val="a"/>
    <w:next w:val="a"/>
    <w:link w:val="1Char"/>
    <w:uiPriority w:val="9"/>
    <w:qFormat/>
    <w:rsid w:val="00551BE2"/>
    <w:pPr>
      <w:keepNext/>
      <w:keepLines/>
      <w:jc w:val="center"/>
      <w:outlineLvl w:val="0"/>
    </w:pPr>
    <w:rPr>
      <w:b/>
      <w:bCs/>
      <w:kern w:val="44"/>
      <w:sz w:val="44"/>
      <w:szCs w:val="44"/>
    </w:rPr>
  </w:style>
  <w:style w:type="paragraph" w:styleId="2">
    <w:name w:val="heading 2"/>
    <w:basedOn w:val="a"/>
    <w:link w:val="2Char"/>
    <w:uiPriority w:val="9"/>
    <w:qFormat/>
    <w:rsid w:val="00C37B29"/>
    <w:pPr>
      <w:widowControl/>
      <w:spacing w:before="100" w:beforeAutospacing="1" w:after="100" w:afterAutospacing="1" w:line="240" w:lineRule="auto"/>
      <w:jc w:val="left"/>
      <w:outlineLvl w:val="1"/>
    </w:pPr>
    <w:rPr>
      <w:rFonts w:ascii="宋体" w:eastAsia="宋体" w:hAnsi="宋体" w:cs="宋体"/>
      <w:b/>
      <w:bCs/>
      <w:kern w:val="0"/>
      <w:sz w:val="36"/>
      <w:szCs w:val="36"/>
    </w:rPr>
  </w:style>
  <w:style w:type="paragraph" w:styleId="3">
    <w:name w:val="heading 3"/>
    <w:basedOn w:val="a"/>
    <w:next w:val="a"/>
    <w:link w:val="3Char"/>
    <w:autoRedefine/>
    <w:uiPriority w:val="9"/>
    <w:unhideWhenUsed/>
    <w:qFormat/>
    <w:rsid w:val="00551BE2"/>
    <w:pPr>
      <w:keepNext/>
      <w:keepLines/>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1BE2"/>
    <w:rPr>
      <w:b/>
      <w:bCs/>
      <w:kern w:val="44"/>
      <w:sz w:val="44"/>
      <w:szCs w:val="44"/>
    </w:rPr>
  </w:style>
  <w:style w:type="character" w:customStyle="1" w:styleId="3Char">
    <w:name w:val="标题 3 Char"/>
    <w:basedOn w:val="a0"/>
    <w:link w:val="3"/>
    <w:uiPriority w:val="9"/>
    <w:rsid w:val="00551BE2"/>
    <w:rPr>
      <w:b/>
      <w:bCs/>
      <w:sz w:val="32"/>
      <w:szCs w:val="32"/>
    </w:rPr>
  </w:style>
  <w:style w:type="character" w:customStyle="1" w:styleId="2Char">
    <w:name w:val="标题 2 Char"/>
    <w:basedOn w:val="a0"/>
    <w:link w:val="2"/>
    <w:uiPriority w:val="9"/>
    <w:rsid w:val="00C37B29"/>
    <w:rPr>
      <w:rFonts w:ascii="宋体" w:eastAsia="宋体" w:hAnsi="宋体" w:cs="宋体"/>
      <w:b/>
      <w:bCs/>
      <w:kern w:val="0"/>
      <w:sz w:val="36"/>
      <w:szCs w:val="36"/>
    </w:rPr>
  </w:style>
  <w:style w:type="character" w:styleId="a3">
    <w:name w:val="Hyperlink"/>
    <w:basedOn w:val="a0"/>
    <w:uiPriority w:val="99"/>
    <w:semiHidden/>
    <w:unhideWhenUsed/>
    <w:rsid w:val="00C37B29"/>
    <w:rPr>
      <w:color w:val="0000FF"/>
      <w:u w:val="single"/>
    </w:rPr>
  </w:style>
  <w:style w:type="character" w:customStyle="1" w:styleId="apple-converted-space">
    <w:name w:val="apple-converted-space"/>
    <w:basedOn w:val="a0"/>
    <w:rsid w:val="00C37B29"/>
  </w:style>
  <w:style w:type="paragraph" w:styleId="a4">
    <w:name w:val="Normal (Web)"/>
    <w:basedOn w:val="a"/>
    <w:uiPriority w:val="99"/>
    <w:semiHidden/>
    <w:unhideWhenUsed/>
    <w:rsid w:val="00C37B29"/>
    <w:pPr>
      <w:widowControl/>
      <w:spacing w:before="100" w:beforeAutospacing="1" w:after="100" w:afterAutospacing="1" w:line="240" w:lineRule="auto"/>
      <w:jc w:val="left"/>
    </w:pPr>
    <w:rPr>
      <w:rFonts w:ascii="宋体" w:eastAsia="宋体" w:hAnsi="宋体" w:cs="宋体"/>
      <w:kern w:val="0"/>
      <w:szCs w:val="24"/>
    </w:rPr>
  </w:style>
  <w:style w:type="character" w:customStyle="1" w:styleId="divider">
    <w:name w:val="divider"/>
    <w:basedOn w:val="a0"/>
    <w:rsid w:val="00C3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40896">
      <w:bodyDiv w:val="1"/>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single" w:sz="6" w:space="0" w:color="DDDDDD"/>
            <w:bottom w:val="none" w:sz="0" w:space="0" w:color="auto"/>
            <w:right w:val="none" w:sz="0" w:space="0" w:color="auto"/>
          </w:divBdr>
          <w:divsChild>
            <w:div w:id="1068571113">
              <w:marLeft w:val="0"/>
              <w:marRight w:val="0"/>
              <w:marTop w:val="225"/>
              <w:marBottom w:val="225"/>
              <w:divBdr>
                <w:top w:val="none" w:sz="0" w:space="0" w:color="auto"/>
                <w:left w:val="none" w:sz="0" w:space="0" w:color="auto"/>
                <w:bottom w:val="none" w:sz="0" w:space="0" w:color="auto"/>
                <w:right w:val="none" w:sz="0" w:space="0" w:color="auto"/>
              </w:divBdr>
            </w:div>
          </w:divsChild>
        </w:div>
        <w:div w:id="1432970664">
          <w:marLeft w:val="0"/>
          <w:marRight w:val="0"/>
          <w:marTop w:val="0"/>
          <w:marBottom w:val="0"/>
          <w:divBdr>
            <w:top w:val="none" w:sz="0" w:space="0" w:color="auto"/>
            <w:left w:val="none" w:sz="0" w:space="0" w:color="auto"/>
            <w:bottom w:val="none" w:sz="0" w:space="0" w:color="auto"/>
            <w:right w:val="none" w:sz="0" w:space="0" w:color="auto"/>
          </w:divBdr>
          <w:divsChild>
            <w:div w:id="1452095549">
              <w:marLeft w:val="0"/>
              <w:marRight w:val="0"/>
              <w:marTop w:val="0"/>
              <w:marBottom w:val="0"/>
              <w:divBdr>
                <w:top w:val="none" w:sz="0" w:space="0" w:color="auto"/>
                <w:left w:val="none" w:sz="0" w:space="0" w:color="auto"/>
                <w:bottom w:val="none" w:sz="0" w:space="0" w:color="auto"/>
                <w:right w:val="none" w:sz="0" w:space="0" w:color="auto"/>
              </w:divBdr>
              <w:divsChild>
                <w:div w:id="373237164">
                  <w:marLeft w:val="0"/>
                  <w:marRight w:val="0"/>
                  <w:marTop w:val="0"/>
                  <w:marBottom w:val="0"/>
                  <w:divBdr>
                    <w:top w:val="none" w:sz="0" w:space="0" w:color="auto"/>
                    <w:left w:val="none" w:sz="0" w:space="0" w:color="auto"/>
                    <w:bottom w:val="none" w:sz="0" w:space="0" w:color="auto"/>
                    <w:right w:val="none" w:sz="0" w:space="0" w:color="auto"/>
                  </w:divBdr>
                  <w:divsChild>
                    <w:div w:id="266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3130">
              <w:marLeft w:val="0"/>
              <w:marRight w:val="0"/>
              <w:marTop w:val="0"/>
              <w:marBottom w:val="0"/>
              <w:divBdr>
                <w:top w:val="none" w:sz="0" w:space="0" w:color="auto"/>
                <w:left w:val="none" w:sz="0" w:space="0" w:color="auto"/>
                <w:bottom w:val="none" w:sz="0" w:space="0" w:color="auto"/>
                <w:right w:val="none" w:sz="0" w:space="0" w:color="auto"/>
              </w:divBdr>
            </w:div>
            <w:div w:id="2116947868">
              <w:marLeft w:val="0"/>
              <w:marRight w:val="0"/>
              <w:marTop w:val="0"/>
              <w:marBottom w:val="0"/>
              <w:divBdr>
                <w:top w:val="none" w:sz="0" w:space="0" w:color="auto"/>
                <w:left w:val="none" w:sz="0" w:space="0" w:color="auto"/>
                <w:bottom w:val="none" w:sz="0" w:space="0" w:color="auto"/>
                <w:right w:val="none" w:sz="0" w:space="0" w:color="auto"/>
              </w:divBdr>
              <w:divsChild>
                <w:div w:id="2067951748">
                  <w:marLeft w:val="0"/>
                  <w:marRight w:val="0"/>
                  <w:marTop w:val="0"/>
                  <w:marBottom w:val="0"/>
                  <w:divBdr>
                    <w:top w:val="none" w:sz="0" w:space="0" w:color="auto"/>
                    <w:left w:val="none" w:sz="0" w:space="0" w:color="auto"/>
                    <w:bottom w:val="none" w:sz="0" w:space="0" w:color="auto"/>
                    <w:right w:val="none" w:sz="0" w:space="0" w:color="auto"/>
                  </w:divBdr>
                  <w:divsChild>
                    <w:div w:id="8878929">
                      <w:marLeft w:val="0"/>
                      <w:marRight w:val="0"/>
                      <w:marTop w:val="0"/>
                      <w:marBottom w:val="0"/>
                      <w:divBdr>
                        <w:top w:val="none" w:sz="0" w:space="0" w:color="auto"/>
                        <w:left w:val="none" w:sz="0" w:space="0" w:color="auto"/>
                        <w:bottom w:val="none" w:sz="0" w:space="0" w:color="auto"/>
                        <w:right w:val="none" w:sz="0" w:space="0" w:color="auto"/>
                      </w:divBdr>
                      <w:divsChild>
                        <w:div w:id="1038046906">
                          <w:marLeft w:val="0"/>
                          <w:marRight w:val="0"/>
                          <w:marTop w:val="0"/>
                          <w:marBottom w:val="0"/>
                          <w:divBdr>
                            <w:top w:val="none" w:sz="0" w:space="0" w:color="auto"/>
                            <w:left w:val="none" w:sz="0" w:space="0" w:color="auto"/>
                            <w:bottom w:val="none" w:sz="0" w:space="0" w:color="auto"/>
                            <w:right w:val="none" w:sz="0" w:space="0" w:color="auto"/>
                          </w:divBdr>
                        </w:div>
                        <w:div w:id="196235306">
                          <w:marLeft w:val="0"/>
                          <w:marRight w:val="0"/>
                          <w:marTop w:val="0"/>
                          <w:marBottom w:val="0"/>
                          <w:divBdr>
                            <w:top w:val="none" w:sz="0" w:space="0" w:color="auto"/>
                            <w:left w:val="none" w:sz="0" w:space="0" w:color="auto"/>
                            <w:bottom w:val="none" w:sz="0" w:space="0" w:color="auto"/>
                            <w:right w:val="none" w:sz="0" w:space="0" w:color="auto"/>
                          </w:divBdr>
                          <w:divsChild>
                            <w:div w:id="8290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40261">
                  <w:marLeft w:val="0"/>
                  <w:marRight w:val="0"/>
                  <w:marTop w:val="0"/>
                  <w:marBottom w:val="0"/>
                  <w:divBdr>
                    <w:top w:val="none" w:sz="0" w:space="0" w:color="auto"/>
                    <w:left w:val="none" w:sz="0" w:space="0" w:color="auto"/>
                    <w:bottom w:val="none" w:sz="0" w:space="0" w:color="auto"/>
                    <w:right w:val="none" w:sz="0" w:space="0" w:color="auto"/>
                  </w:divBdr>
                  <w:divsChild>
                    <w:div w:id="1913197301">
                      <w:marLeft w:val="0"/>
                      <w:marRight w:val="0"/>
                      <w:marTop w:val="0"/>
                      <w:marBottom w:val="0"/>
                      <w:divBdr>
                        <w:top w:val="none" w:sz="0" w:space="0" w:color="auto"/>
                        <w:left w:val="none" w:sz="0" w:space="0" w:color="auto"/>
                        <w:bottom w:val="none" w:sz="0" w:space="0" w:color="auto"/>
                        <w:right w:val="none" w:sz="0" w:space="0" w:color="auto"/>
                      </w:divBdr>
                      <w:divsChild>
                        <w:div w:id="506754659">
                          <w:marLeft w:val="0"/>
                          <w:marRight w:val="0"/>
                          <w:marTop w:val="0"/>
                          <w:marBottom w:val="0"/>
                          <w:divBdr>
                            <w:top w:val="none" w:sz="0" w:space="0" w:color="auto"/>
                            <w:left w:val="none" w:sz="0" w:space="0" w:color="auto"/>
                            <w:bottom w:val="none" w:sz="0" w:space="0" w:color="auto"/>
                            <w:right w:val="none" w:sz="0" w:space="0" w:color="auto"/>
                          </w:divBdr>
                          <w:divsChild>
                            <w:div w:id="1129595406">
                              <w:marLeft w:val="0"/>
                              <w:marRight w:val="0"/>
                              <w:marTop w:val="0"/>
                              <w:marBottom w:val="0"/>
                              <w:divBdr>
                                <w:top w:val="none" w:sz="0" w:space="0" w:color="auto"/>
                                <w:left w:val="none" w:sz="0" w:space="0" w:color="auto"/>
                                <w:bottom w:val="none" w:sz="0" w:space="0" w:color="auto"/>
                                <w:right w:val="none" w:sz="0" w:space="0" w:color="auto"/>
                              </w:divBdr>
                              <w:divsChild>
                                <w:div w:id="788663178">
                                  <w:marLeft w:val="0"/>
                                  <w:marRight w:val="0"/>
                                  <w:marTop w:val="0"/>
                                  <w:marBottom w:val="0"/>
                                  <w:divBdr>
                                    <w:top w:val="none" w:sz="0" w:space="0" w:color="auto"/>
                                    <w:left w:val="none" w:sz="0" w:space="0" w:color="auto"/>
                                    <w:bottom w:val="none" w:sz="0" w:space="0" w:color="auto"/>
                                    <w:right w:val="none" w:sz="0" w:space="0" w:color="auto"/>
                                  </w:divBdr>
                                </w:div>
                                <w:div w:id="616452994">
                                  <w:marLeft w:val="0"/>
                                  <w:marRight w:val="0"/>
                                  <w:marTop w:val="0"/>
                                  <w:marBottom w:val="0"/>
                                  <w:divBdr>
                                    <w:top w:val="none" w:sz="0" w:space="0" w:color="auto"/>
                                    <w:left w:val="none" w:sz="0" w:space="0" w:color="auto"/>
                                    <w:bottom w:val="none" w:sz="0" w:space="0" w:color="auto"/>
                                    <w:right w:val="none" w:sz="0" w:space="0" w:color="auto"/>
                                  </w:divBdr>
                                  <w:divsChild>
                                    <w:div w:id="1177959357">
                                      <w:marLeft w:val="0"/>
                                      <w:marRight w:val="0"/>
                                      <w:marTop w:val="0"/>
                                      <w:marBottom w:val="0"/>
                                      <w:divBdr>
                                        <w:top w:val="none" w:sz="0" w:space="0" w:color="auto"/>
                                        <w:left w:val="none" w:sz="0" w:space="0" w:color="auto"/>
                                        <w:bottom w:val="none" w:sz="0" w:space="0" w:color="auto"/>
                                        <w:right w:val="none" w:sz="0" w:space="0" w:color="auto"/>
                                      </w:divBdr>
                                    </w:div>
                                    <w:div w:id="148944597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746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个人用户</cp:lastModifiedBy>
  <cp:revision>2</cp:revision>
  <dcterms:created xsi:type="dcterms:W3CDTF">2019-02-12T05:58:00Z</dcterms:created>
  <dcterms:modified xsi:type="dcterms:W3CDTF">2019-02-12T05:58:00Z</dcterms:modified>
</cp:coreProperties>
</file>