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FD9A74" w14:textId="77777777" w:rsidR="00D71078" w:rsidRPr="00D71078" w:rsidRDefault="00D71078" w:rsidP="00D71078">
      <w:pPr>
        <w:widowControl/>
        <w:shd w:val="clear" w:color="auto" w:fill="FFFFFF"/>
        <w:spacing w:line="480" w:lineRule="atLeast"/>
        <w:jc w:val="center"/>
        <w:outlineLvl w:val="0"/>
        <w:rPr>
          <w:rFonts w:ascii="微软雅黑" w:eastAsia="微软雅黑" w:hAnsi="微软雅黑" w:cs="宋体"/>
          <w:b/>
          <w:bCs/>
          <w:color w:val="1567A0"/>
          <w:kern w:val="36"/>
          <w:sz w:val="39"/>
          <w:szCs w:val="39"/>
        </w:rPr>
      </w:pPr>
      <w:r w:rsidRPr="00D71078">
        <w:rPr>
          <w:rFonts w:ascii="微软雅黑" w:eastAsia="微软雅黑" w:hAnsi="微软雅黑" w:cs="宋体" w:hint="eastAsia"/>
          <w:b/>
          <w:bCs/>
          <w:color w:val="1567A0"/>
          <w:kern w:val="36"/>
          <w:sz w:val="39"/>
          <w:szCs w:val="39"/>
        </w:rPr>
        <w:t>软件和信息技术服务业企业所得税优惠政策介绍</w:t>
      </w:r>
    </w:p>
    <w:tbl>
      <w:tblPr>
        <w:tblW w:w="5000" w:type="pct"/>
        <w:jc w:val="center"/>
        <w:tblCellSpacing w:w="0" w:type="dxa"/>
        <w:tblCellMar>
          <w:top w:w="150" w:type="dxa"/>
          <w:left w:w="150" w:type="dxa"/>
          <w:bottom w:w="150" w:type="dxa"/>
          <w:right w:w="150" w:type="dxa"/>
        </w:tblCellMar>
        <w:tblLook w:val="04A0" w:firstRow="1" w:lastRow="0" w:firstColumn="1" w:lastColumn="0" w:noHBand="0" w:noVBand="1"/>
      </w:tblPr>
      <w:tblGrid>
        <w:gridCol w:w="4744"/>
        <w:gridCol w:w="1500"/>
        <w:gridCol w:w="2062"/>
      </w:tblGrid>
      <w:tr w:rsidR="00D71078" w:rsidRPr="00D71078" w14:paraId="1DC5EA37" w14:textId="77777777" w:rsidTr="00D71078">
        <w:trPr>
          <w:tblCellSpacing w:w="0" w:type="dxa"/>
          <w:jc w:val="center"/>
        </w:trPr>
        <w:tc>
          <w:tcPr>
            <w:tcW w:w="2800" w:type="pct"/>
            <w:vAlign w:val="center"/>
            <w:hideMark/>
          </w:tcPr>
          <w:p w14:paraId="7F1B2A14" w14:textId="77777777" w:rsidR="00D71078" w:rsidRPr="00D71078" w:rsidRDefault="00D71078" w:rsidP="00D71078">
            <w:pPr>
              <w:widowControl/>
              <w:jc w:val="right"/>
              <w:rPr>
                <w:rFonts w:ascii="宋体" w:eastAsia="宋体" w:hAnsi="宋体" w:cs="宋体" w:hint="eastAsia"/>
                <w:kern w:val="0"/>
                <w:sz w:val="24"/>
                <w:szCs w:val="24"/>
              </w:rPr>
            </w:pPr>
            <w:r w:rsidRPr="00D71078">
              <w:rPr>
                <w:rFonts w:ascii="宋体" w:eastAsia="宋体" w:hAnsi="宋体" w:cs="宋体"/>
                <w:kern w:val="0"/>
                <w:sz w:val="24"/>
                <w:szCs w:val="24"/>
              </w:rPr>
              <w:t>发布日期：2021-02-02 16:42:31 来源：信息与软件服务业处</w:t>
            </w:r>
          </w:p>
        </w:tc>
        <w:tc>
          <w:tcPr>
            <w:tcW w:w="750" w:type="pct"/>
            <w:noWrap/>
            <w:vAlign w:val="center"/>
            <w:hideMark/>
          </w:tcPr>
          <w:p w14:paraId="502A4E94" w14:textId="77777777" w:rsidR="00D71078" w:rsidRPr="00D71078" w:rsidRDefault="00D71078" w:rsidP="00D71078">
            <w:pPr>
              <w:widowControl/>
              <w:jc w:val="left"/>
              <w:rPr>
                <w:rFonts w:ascii="宋体" w:eastAsia="宋体" w:hAnsi="宋体" w:cs="宋体"/>
                <w:color w:val="999999"/>
                <w:kern w:val="0"/>
                <w:sz w:val="24"/>
                <w:szCs w:val="24"/>
              </w:rPr>
            </w:pPr>
            <w:r w:rsidRPr="00D71078">
              <w:rPr>
                <w:rFonts w:ascii="宋体" w:eastAsia="宋体" w:hAnsi="宋体" w:cs="宋体"/>
                <w:color w:val="999999"/>
                <w:kern w:val="0"/>
                <w:sz w:val="24"/>
                <w:szCs w:val="24"/>
              </w:rPr>
              <w:t>浏览次数：</w:t>
            </w:r>
          </w:p>
          <w:p w14:paraId="021573CA" w14:textId="77777777" w:rsidR="00D71078" w:rsidRPr="00D71078" w:rsidRDefault="00D71078" w:rsidP="00D71078">
            <w:pPr>
              <w:widowControl/>
              <w:spacing w:line="465" w:lineRule="atLeast"/>
              <w:ind w:left="720"/>
              <w:jc w:val="left"/>
              <w:rPr>
                <w:rFonts w:ascii="宋体" w:eastAsia="宋体" w:hAnsi="宋体" w:cs="宋体"/>
                <w:color w:val="999999"/>
                <w:kern w:val="0"/>
                <w:sz w:val="18"/>
                <w:szCs w:val="18"/>
              </w:rPr>
            </w:pPr>
            <w:r w:rsidRPr="00D71078">
              <w:rPr>
                <w:rFonts w:ascii="宋体" w:eastAsia="宋体" w:hAnsi="宋体" w:cs="宋体"/>
                <w:color w:val="999999"/>
                <w:kern w:val="0"/>
                <w:sz w:val="18"/>
                <w:szCs w:val="18"/>
              </w:rPr>
              <w:t>1136</w:t>
            </w:r>
          </w:p>
        </w:tc>
        <w:tc>
          <w:tcPr>
            <w:tcW w:w="1250" w:type="pct"/>
            <w:vAlign w:val="center"/>
            <w:hideMark/>
          </w:tcPr>
          <w:p w14:paraId="0C07AEB4" w14:textId="77777777" w:rsidR="00D71078" w:rsidRPr="00D71078" w:rsidRDefault="00D71078" w:rsidP="00D71078">
            <w:pPr>
              <w:widowControl/>
              <w:jc w:val="left"/>
              <w:rPr>
                <w:rFonts w:ascii="宋体" w:eastAsia="宋体" w:hAnsi="宋体" w:cs="宋体"/>
                <w:kern w:val="0"/>
                <w:sz w:val="24"/>
                <w:szCs w:val="24"/>
              </w:rPr>
            </w:pPr>
            <w:r w:rsidRPr="00D71078">
              <w:rPr>
                <w:rFonts w:ascii="宋体" w:eastAsia="宋体" w:hAnsi="宋体" w:cs="宋体"/>
                <w:kern w:val="0"/>
                <w:sz w:val="24"/>
                <w:szCs w:val="24"/>
              </w:rPr>
              <w:t>字号：大  中  小</w:t>
            </w:r>
          </w:p>
        </w:tc>
      </w:tr>
    </w:tbl>
    <w:p w14:paraId="4CB6FAA4"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color w:val="333333"/>
          <w:kern w:val="0"/>
          <w:sz w:val="24"/>
          <w:szCs w:val="24"/>
        </w:rPr>
      </w:pPr>
      <w:r w:rsidRPr="00D71078">
        <w:rPr>
          <w:rFonts w:ascii="微软雅黑" w:eastAsia="微软雅黑" w:hAnsi="微软雅黑" w:cs="宋体" w:hint="eastAsia"/>
          <w:b/>
          <w:bCs/>
          <w:color w:val="333333"/>
          <w:kern w:val="0"/>
          <w:sz w:val="24"/>
          <w:szCs w:val="24"/>
        </w:rPr>
        <w:t xml:space="preserve">　　一、政策依据</w:t>
      </w:r>
    </w:p>
    <w:p w14:paraId="22BA38CA"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1.</w:t>
      </w:r>
      <w:hyperlink r:id="rId6" w:tgtFrame="_self" w:history="1">
        <w:r w:rsidRPr="00D71078">
          <w:rPr>
            <w:rFonts w:ascii="微软雅黑" w:eastAsia="微软雅黑" w:hAnsi="微软雅黑" w:cs="宋体" w:hint="eastAsia"/>
            <w:color w:val="333333"/>
            <w:kern w:val="0"/>
            <w:sz w:val="24"/>
            <w:szCs w:val="24"/>
            <w:u w:val="single"/>
          </w:rPr>
          <w:t>《财政部国家税务总局关于进一步鼓励软件产业和集成电路产业发展企业所得税政策的通知》</w:t>
        </w:r>
      </w:hyperlink>
      <w:r w:rsidRPr="00D71078">
        <w:rPr>
          <w:rFonts w:ascii="微软雅黑" w:eastAsia="微软雅黑" w:hAnsi="微软雅黑" w:cs="宋体" w:hint="eastAsia"/>
          <w:color w:val="333333"/>
          <w:kern w:val="0"/>
          <w:sz w:val="24"/>
          <w:szCs w:val="24"/>
        </w:rPr>
        <w:t>（财税〔2012〕27 号）</w:t>
      </w:r>
      <w:r w:rsidRPr="00D71078">
        <w:rPr>
          <w:rFonts w:ascii="微软雅黑" w:eastAsia="微软雅黑" w:hAnsi="微软雅黑" w:cs="宋体" w:hint="eastAsia"/>
          <w:b/>
          <w:bCs/>
          <w:color w:val="333333"/>
          <w:kern w:val="0"/>
          <w:sz w:val="24"/>
          <w:szCs w:val="24"/>
        </w:rPr>
        <w:t>——企业所得税减免税政策依据。</w:t>
      </w:r>
    </w:p>
    <w:p w14:paraId="5D215906"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2.</w:t>
      </w:r>
      <w:hyperlink r:id="rId7" w:tgtFrame="_self" w:history="1">
        <w:r w:rsidRPr="00D71078">
          <w:rPr>
            <w:rFonts w:ascii="微软雅黑" w:eastAsia="微软雅黑" w:hAnsi="微软雅黑" w:cs="宋体" w:hint="eastAsia"/>
            <w:color w:val="333333"/>
            <w:kern w:val="0"/>
            <w:sz w:val="24"/>
            <w:szCs w:val="24"/>
            <w:u w:val="single"/>
          </w:rPr>
          <w:t>《国家税务总局关于执行软件企业所得税优惠政策有关问题的公告》</w:t>
        </w:r>
      </w:hyperlink>
      <w:r w:rsidRPr="00D71078">
        <w:rPr>
          <w:rFonts w:ascii="微软雅黑" w:eastAsia="微软雅黑" w:hAnsi="微软雅黑" w:cs="宋体" w:hint="eastAsia"/>
          <w:color w:val="333333"/>
          <w:kern w:val="0"/>
          <w:sz w:val="24"/>
          <w:szCs w:val="24"/>
        </w:rPr>
        <w:t>（税务总局〔2013〕43号）</w:t>
      </w:r>
      <w:r w:rsidRPr="00D71078">
        <w:rPr>
          <w:rFonts w:ascii="微软雅黑" w:eastAsia="微软雅黑" w:hAnsi="微软雅黑" w:cs="宋体" w:hint="eastAsia"/>
          <w:b/>
          <w:bCs/>
          <w:color w:val="333333"/>
          <w:kern w:val="0"/>
          <w:sz w:val="24"/>
          <w:szCs w:val="24"/>
        </w:rPr>
        <w:t>——对财税〔2012〕27 号文件政策层面具体落实事宜加以明确，包括企业的收入总额、获利年度，“两免三减半”计算方式等。</w:t>
      </w:r>
    </w:p>
    <w:p w14:paraId="63612B7F"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3.</w:t>
      </w:r>
      <w:hyperlink r:id="rId8" w:tgtFrame="_self" w:history="1">
        <w:r w:rsidRPr="00D71078">
          <w:rPr>
            <w:rFonts w:ascii="微软雅黑" w:eastAsia="微软雅黑" w:hAnsi="微软雅黑" w:cs="宋体" w:hint="eastAsia"/>
            <w:color w:val="333333"/>
            <w:kern w:val="0"/>
            <w:sz w:val="24"/>
            <w:szCs w:val="24"/>
            <w:u w:val="single"/>
          </w:rPr>
          <w:t>《财政部国家税务总局科技部关于完善研究开发费用税前加计扣除政策的通知》</w:t>
        </w:r>
      </w:hyperlink>
      <w:r w:rsidRPr="00D71078">
        <w:rPr>
          <w:rFonts w:ascii="微软雅黑" w:eastAsia="微软雅黑" w:hAnsi="微软雅黑" w:cs="宋体" w:hint="eastAsia"/>
          <w:color w:val="333333"/>
          <w:kern w:val="0"/>
          <w:sz w:val="24"/>
          <w:szCs w:val="24"/>
        </w:rPr>
        <w:t>（财税〔2015〕119号）</w:t>
      </w:r>
      <w:hyperlink r:id="rId9" w:tgtFrame="_self" w:history="1">
        <w:r w:rsidRPr="00D71078">
          <w:rPr>
            <w:rFonts w:ascii="微软雅黑" w:eastAsia="微软雅黑" w:hAnsi="微软雅黑" w:cs="宋体" w:hint="eastAsia"/>
            <w:color w:val="333333"/>
            <w:kern w:val="0"/>
            <w:sz w:val="24"/>
            <w:szCs w:val="24"/>
            <w:u w:val="single"/>
          </w:rPr>
          <w:t>《财政部国家税务总局 科技部关于提高研究开发费用税前加计扣除比例的通知》</w:t>
        </w:r>
      </w:hyperlink>
      <w:r w:rsidRPr="00D71078">
        <w:rPr>
          <w:rFonts w:ascii="微软雅黑" w:eastAsia="微软雅黑" w:hAnsi="微软雅黑" w:cs="宋体" w:hint="eastAsia"/>
          <w:color w:val="333333"/>
          <w:kern w:val="0"/>
          <w:sz w:val="24"/>
          <w:szCs w:val="24"/>
        </w:rPr>
        <w:t>（财税〔2018〕99号）</w:t>
      </w:r>
      <w:r w:rsidRPr="00D71078">
        <w:rPr>
          <w:rFonts w:ascii="微软雅黑" w:eastAsia="微软雅黑" w:hAnsi="微软雅黑" w:cs="宋体" w:hint="eastAsia"/>
          <w:b/>
          <w:bCs/>
          <w:color w:val="333333"/>
          <w:kern w:val="0"/>
          <w:sz w:val="24"/>
          <w:szCs w:val="24"/>
        </w:rPr>
        <w:t>——明确研发费归集范围及加计扣除比例。</w:t>
      </w:r>
    </w:p>
    <w:p w14:paraId="21CE8BB1"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4.</w:t>
      </w:r>
      <w:hyperlink r:id="rId10" w:tgtFrame="_self" w:history="1">
        <w:r w:rsidRPr="00D71078">
          <w:rPr>
            <w:rFonts w:ascii="微软雅黑" w:eastAsia="微软雅黑" w:hAnsi="微软雅黑" w:cs="宋体" w:hint="eastAsia"/>
            <w:color w:val="333333"/>
            <w:kern w:val="0"/>
            <w:sz w:val="24"/>
            <w:szCs w:val="24"/>
            <w:u w:val="single"/>
          </w:rPr>
          <w:t>《财政部国家税务总局发展改革委工业和信息化部关于软件和集成电路产业企业所得税优惠政策有关问题的通知》</w:t>
        </w:r>
      </w:hyperlink>
      <w:r w:rsidRPr="00D71078">
        <w:rPr>
          <w:rFonts w:ascii="微软雅黑" w:eastAsia="微软雅黑" w:hAnsi="微软雅黑" w:cs="宋体" w:hint="eastAsia"/>
          <w:color w:val="333333"/>
          <w:kern w:val="0"/>
          <w:sz w:val="24"/>
          <w:szCs w:val="24"/>
        </w:rPr>
        <w:t>（财税〔2016〕49 号）</w:t>
      </w:r>
      <w:r w:rsidRPr="00D71078">
        <w:rPr>
          <w:rFonts w:ascii="微软雅黑" w:eastAsia="微软雅黑" w:hAnsi="微软雅黑" w:cs="宋体" w:hint="eastAsia"/>
          <w:b/>
          <w:bCs/>
          <w:color w:val="333333"/>
          <w:kern w:val="0"/>
          <w:sz w:val="24"/>
          <w:szCs w:val="24"/>
        </w:rPr>
        <w:t>——明确人员结构、研发经费、软件收入等关键指标，以及相关办理程序。</w:t>
      </w:r>
    </w:p>
    <w:p w14:paraId="0BD1D601"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lastRenderedPageBreak/>
        <w:t xml:space="preserve">　　5.</w:t>
      </w:r>
      <w:hyperlink r:id="rId11" w:tgtFrame="_self" w:history="1">
        <w:r w:rsidRPr="00D71078">
          <w:rPr>
            <w:rFonts w:ascii="微软雅黑" w:eastAsia="微软雅黑" w:hAnsi="微软雅黑" w:cs="宋体" w:hint="eastAsia"/>
            <w:color w:val="333333"/>
            <w:kern w:val="0"/>
            <w:sz w:val="24"/>
            <w:szCs w:val="24"/>
            <w:u w:val="single"/>
          </w:rPr>
          <w:t>《国家税务总局关于发布修订后的&lt;企业所得税优惠政策事项办理办法&gt;的公告》</w:t>
        </w:r>
      </w:hyperlink>
      <w:r w:rsidRPr="00D71078">
        <w:rPr>
          <w:rFonts w:ascii="微软雅黑" w:eastAsia="微软雅黑" w:hAnsi="微软雅黑" w:cs="宋体" w:hint="eastAsia"/>
          <w:color w:val="333333"/>
          <w:kern w:val="0"/>
          <w:sz w:val="24"/>
          <w:szCs w:val="24"/>
        </w:rPr>
        <w:t>（税务总局〔2018〕23号）</w:t>
      </w:r>
      <w:r w:rsidRPr="00D71078">
        <w:rPr>
          <w:rFonts w:ascii="微软雅黑" w:eastAsia="微软雅黑" w:hAnsi="微软雅黑" w:cs="宋体" w:hint="eastAsia"/>
          <w:b/>
          <w:bCs/>
          <w:color w:val="333333"/>
          <w:kern w:val="0"/>
          <w:sz w:val="24"/>
          <w:szCs w:val="24"/>
        </w:rPr>
        <w:t>——明确企业享受优惠事项采取“自行判别、申报享受、相关资料留存备查”的办理方式。</w:t>
      </w:r>
    </w:p>
    <w:p w14:paraId="0C0B8988"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6.</w:t>
      </w:r>
      <w:hyperlink r:id="rId12" w:tgtFrame="_self" w:history="1">
        <w:r w:rsidRPr="00D71078">
          <w:rPr>
            <w:rFonts w:ascii="微软雅黑" w:eastAsia="微软雅黑" w:hAnsi="微软雅黑" w:cs="宋体" w:hint="eastAsia"/>
            <w:color w:val="333333"/>
            <w:kern w:val="0"/>
            <w:sz w:val="24"/>
            <w:szCs w:val="24"/>
            <w:u w:val="single"/>
          </w:rPr>
          <w:t>《国务院关于印发新时期促进集成电路产业和软件产业高质量发展若干政策的通知》</w:t>
        </w:r>
      </w:hyperlink>
      <w:r w:rsidRPr="00D71078">
        <w:rPr>
          <w:rFonts w:ascii="微软雅黑" w:eastAsia="微软雅黑" w:hAnsi="微软雅黑" w:cs="宋体" w:hint="eastAsia"/>
          <w:color w:val="333333"/>
          <w:kern w:val="0"/>
          <w:sz w:val="24"/>
          <w:szCs w:val="24"/>
        </w:rPr>
        <w:t>（国发〔2020〕8号）</w:t>
      </w:r>
      <w:r w:rsidRPr="00D71078">
        <w:rPr>
          <w:rFonts w:ascii="微软雅黑" w:eastAsia="微软雅黑" w:hAnsi="微软雅黑" w:cs="宋体" w:hint="eastAsia"/>
          <w:b/>
          <w:bCs/>
          <w:color w:val="333333"/>
          <w:kern w:val="0"/>
          <w:sz w:val="24"/>
          <w:szCs w:val="24"/>
        </w:rPr>
        <w:t>——延续了国发〔2000〕18号、国发〔2011〕4号文件的企业所得税优惠政策，并进一步加大了政策对软件企业的支持力度。</w:t>
      </w:r>
    </w:p>
    <w:p w14:paraId="31A7DD7B"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7.</w:t>
      </w:r>
      <w:hyperlink r:id="rId13" w:tgtFrame="_self" w:history="1">
        <w:r w:rsidRPr="00D71078">
          <w:rPr>
            <w:rFonts w:ascii="微软雅黑" w:eastAsia="微软雅黑" w:hAnsi="微软雅黑" w:cs="宋体" w:hint="eastAsia"/>
            <w:color w:val="333333"/>
            <w:kern w:val="0"/>
            <w:sz w:val="24"/>
            <w:szCs w:val="24"/>
            <w:u w:val="single"/>
          </w:rPr>
          <w:t>《财政部 税务总局 发展改革委 工业和信息化部关于促进集成电路产业和软件产业高质量发展企业所得税政策的公告》</w:t>
        </w:r>
      </w:hyperlink>
      <w:r w:rsidRPr="00D71078">
        <w:rPr>
          <w:rFonts w:ascii="微软雅黑" w:eastAsia="微软雅黑" w:hAnsi="微软雅黑" w:cs="宋体" w:hint="eastAsia"/>
          <w:color w:val="333333"/>
          <w:kern w:val="0"/>
          <w:sz w:val="24"/>
          <w:szCs w:val="24"/>
        </w:rPr>
        <w:t>（财政部 税务总局 发展改革委 工业和信息化部公告2020年第45号）</w:t>
      </w:r>
      <w:r w:rsidRPr="00D71078">
        <w:rPr>
          <w:rFonts w:ascii="微软雅黑" w:eastAsia="微软雅黑" w:hAnsi="微软雅黑" w:cs="宋体" w:hint="eastAsia"/>
          <w:b/>
          <w:bCs/>
          <w:color w:val="333333"/>
          <w:kern w:val="0"/>
          <w:sz w:val="24"/>
          <w:szCs w:val="24"/>
        </w:rPr>
        <w:t>——明确了原有政策和新政策之间的过渡处理方式。</w:t>
      </w:r>
    </w:p>
    <w:p w14:paraId="0FE87E92"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b/>
          <w:bCs/>
          <w:color w:val="333333"/>
          <w:kern w:val="0"/>
          <w:sz w:val="24"/>
          <w:szCs w:val="24"/>
        </w:rPr>
        <w:t xml:space="preserve">　　二、申报条件</w:t>
      </w:r>
    </w:p>
    <w:p w14:paraId="654C5412"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w:t>
      </w:r>
      <w:r w:rsidRPr="00D71078">
        <w:rPr>
          <w:rFonts w:ascii="微软雅黑" w:eastAsia="微软雅黑" w:hAnsi="微软雅黑" w:cs="宋体" w:hint="eastAsia"/>
          <w:b/>
          <w:bCs/>
          <w:color w:val="333333"/>
          <w:kern w:val="0"/>
          <w:sz w:val="24"/>
          <w:szCs w:val="24"/>
        </w:rPr>
        <w:t>（一）软件企业须符合下列条件：</w:t>
      </w:r>
    </w:p>
    <w:p w14:paraId="3C4216BF"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1.在广州市依法注册的以软件产品开发销售（营业）为主营业务的居民企业；</w:t>
      </w:r>
    </w:p>
    <w:p w14:paraId="4E6F7FEB"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2.汇算清缴年度具有劳动合同关系且具有大学专科以上学历的职工人数占企业月平均职工总人数的比例不低于 40%，其中研究开发人员占企业月平均职工总数的比例不低于 20%；</w:t>
      </w:r>
    </w:p>
    <w:p w14:paraId="268B2EBE"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lastRenderedPageBreak/>
        <w:t xml:space="preserve">　　3.拥有核心关键技术，并以此为基础开展经营活动，且汇算清缴年度研究开发费用总额占企业销售（营业）收入总额的比例不低于 6%；其中，企业在中国境内发生的研究开发费用金额</w:t>
      </w:r>
      <w:proofErr w:type="gramStart"/>
      <w:r w:rsidRPr="00D71078">
        <w:rPr>
          <w:rFonts w:ascii="微软雅黑" w:eastAsia="微软雅黑" w:hAnsi="微软雅黑" w:cs="宋体" w:hint="eastAsia"/>
          <w:color w:val="333333"/>
          <w:kern w:val="0"/>
          <w:sz w:val="24"/>
          <w:szCs w:val="24"/>
        </w:rPr>
        <w:t>占研究</w:t>
      </w:r>
      <w:proofErr w:type="gramEnd"/>
      <w:r w:rsidRPr="00D71078">
        <w:rPr>
          <w:rFonts w:ascii="微软雅黑" w:eastAsia="微软雅黑" w:hAnsi="微软雅黑" w:cs="宋体" w:hint="eastAsia"/>
          <w:color w:val="333333"/>
          <w:kern w:val="0"/>
          <w:sz w:val="24"/>
          <w:szCs w:val="24"/>
        </w:rPr>
        <w:t>开发费用总额的比例不低于 60%；</w:t>
      </w:r>
    </w:p>
    <w:p w14:paraId="448CF6BB"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4.汇算清缴年度软件产品开发销售（营业）收入占企业收入总额的比例不低于 50%（嵌入式软件产品和信息系统集成产品开发销售（营业）收入占企业收入总额的比例不低于 40%），其中：软件产品自主开发销售（营业）收入占企业收入总额的比例不低于 40%（嵌入式软件产品和信息系统集成产品开发销售（营业）收入占企业收入总额的比例不低于 30%）；</w:t>
      </w:r>
    </w:p>
    <w:p w14:paraId="6EE23740"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5.主营业务拥有自主知识产权；</w:t>
      </w:r>
    </w:p>
    <w:p w14:paraId="776E91DA"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6.具有与软件开发相适应的软硬件设施及开发环境（如合法的开发工具等）；</w:t>
      </w:r>
    </w:p>
    <w:p w14:paraId="67DE3EEB"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7.汇算清缴年度未发生重大安全、质量事故或严重环境违法行为。</w:t>
      </w:r>
    </w:p>
    <w:p w14:paraId="5420BEC5"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b/>
          <w:bCs/>
          <w:color w:val="333333"/>
          <w:kern w:val="0"/>
          <w:sz w:val="24"/>
          <w:szCs w:val="24"/>
        </w:rPr>
        <w:t xml:space="preserve">　　财政部 税务总局 发展改革委 工业和信息化部公告2020年第45号：国家鼓励的软件企业条件，由工业和信息化部会同国家发展改革委、财政部、税务总局等相关部门制定。</w:t>
      </w:r>
    </w:p>
    <w:p w14:paraId="07438002"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b/>
          <w:bCs/>
          <w:color w:val="333333"/>
          <w:kern w:val="0"/>
          <w:sz w:val="24"/>
          <w:szCs w:val="24"/>
        </w:rPr>
        <w:t xml:space="preserve">　　（二）重点软件企业须符合下列条件：</w:t>
      </w:r>
    </w:p>
    <w:p w14:paraId="43928A8B"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除了需符合</w:t>
      </w:r>
      <w:r w:rsidRPr="00D71078">
        <w:rPr>
          <w:rFonts w:ascii="微软雅黑" w:eastAsia="微软雅黑" w:hAnsi="微软雅黑" w:cs="宋体" w:hint="eastAsia"/>
          <w:b/>
          <w:bCs/>
          <w:color w:val="333333"/>
          <w:kern w:val="0"/>
          <w:sz w:val="24"/>
          <w:szCs w:val="24"/>
        </w:rPr>
        <w:t>软件企业</w:t>
      </w:r>
      <w:r w:rsidRPr="00D71078">
        <w:rPr>
          <w:rFonts w:ascii="微软雅黑" w:eastAsia="微软雅黑" w:hAnsi="微软雅黑" w:cs="宋体" w:hint="eastAsia"/>
          <w:color w:val="333333"/>
          <w:kern w:val="0"/>
          <w:sz w:val="24"/>
          <w:szCs w:val="24"/>
        </w:rPr>
        <w:t>条件，还应至少符合下列条件中的一项：</w:t>
      </w:r>
    </w:p>
    <w:p w14:paraId="67D9CAB7"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lastRenderedPageBreak/>
        <w:t xml:space="preserve">　　1.汇算清缴年度软件产品开发销售（营业）收入不低于2亿元，应纳税所得额不低于1000万元，研究开发人员占企业月平均职工总数的比例不低于25%；</w:t>
      </w:r>
    </w:p>
    <w:p w14:paraId="2942AE9D"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2.在国家规定的重点软件领域内，汇算清缴年度软件产品开发销售（营业）收入不低于5000万元，应纳税所得额不低于250万元，研究开发人员占企业月平均职工总数的比例不低于25%，企业在中国境内发生的研究开发费用金额</w:t>
      </w:r>
      <w:proofErr w:type="gramStart"/>
      <w:r w:rsidRPr="00D71078">
        <w:rPr>
          <w:rFonts w:ascii="微软雅黑" w:eastAsia="微软雅黑" w:hAnsi="微软雅黑" w:cs="宋体" w:hint="eastAsia"/>
          <w:color w:val="333333"/>
          <w:kern w:val="0"/>
          <w:sz w:val="24"/>
          <w:szCs w:val="24"/>
        </w:rPr>
        <w:t>占研究</w:t>
      </w:r>
      <w:proofErr w:type="gramEnd"/>
      <w:r w:rsidRPr="00D71078">
        <w:rPr>
          <w:rFonts w:ascii="微软雅黑" w:eastAsia="微软雅黑" w:hAnsi="微软雅黑" w:cs="宋体" w:hint="eastAsia"/>
          <w:color w:val="333333"/>
          <w:kern w:val="0"/>
          <w:sz w:val="24"/>
          <w:szCs w:val="24"/>
        </w:rPr>
        <w:t>开发费用总额的比例不低于  70%；</w:t>
      </w:r>
    </w:p>
    <w:p w14:paraId="7E319898"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3.汇算清缴年度软件出口收入总额不低于800万美元，软件出口收入总额占本企业年度收入总额比例不低于50％，研究开发人员占企业月平均职工总数的比例不低于25%。</w:t>
      </w:r>
    </w:p>
    <w:p w14:paraId="4FB7FE12"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b/>
          <w:bCs/>
          <w:color w:val="333333"/>
          <w:kern w:val="0"/>
          <w:sz w:val="24"/>
          <w:szCs w:val="24"/>
        </w:rPr>
        <w:t xml:space="preserve">　　财政部 税务总局 发展改革委 工业和信息化部公告2020年第45号：国家鼓励的重点软件企业清单由国家发展改革委、工业和信息化部会同财政部、税务总局等相关部门制定。</w:t>
      </w:r>
    </w:p>
    <w:p w14:paraId="609AE64F"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b/>
          <w:bCs/>
          <w:color w:val="333333"/>
          <w:kern w:val="0"/>
          <w:sz w:val="24"/>
          <w:szCs w:val="24"/>
        </w:rPr>
        <w:t xml:space="preserve">　　（三）软件企业核查资料如下：</w:t>
      </w:r>
    </w:p>
    <w:p w14:paraId="31824283"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1.企业法人营业执照副本复印件；</w:t>
      </w:r>
    </w:p>
    <w:p w14:paraId="6D3E5EF3"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2.企业开发销售的主要软件产品或技术服务列表；</w:t>
      </w:r>
    </w:p>
    <w:p w14:paraId="0CCD756F"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3.主营业务为软件产品开发的企业，提供至少1 </w:t>
      </w:r>
      <w:proofErr w:type="gramStart"/>
      <w:r w:rsidRPr="00D71078">
        <w:rPr>
          <w:rFonts w:ascii="微软雅黑" w:eastAsia="微软雅黑" w:hAnsi="微软雅黑" w:cs="宋体" w:hint="eastAsia"/>
          <w:color w:val="333333"/>
          <w:kern w:val="0"/>
          <w:sz w:val="24"/>
          <w:szCs w:val="24"/>
        </w:rPr>
        <w:t>个</w:t>
      </w:r>
      <w:proofErr w:type="gramEnd"/>
      <w:r w:rsidRPr="00D71078">
        <w:rPr>
          <w:rFonts w:ascii="微软雅黑" w:eastAsia="微软雅黑" w:hAnsi="微软雅黑" w:cs="宋体" w:hint="eastAsia"/>
          <w:color w:val="333333"/>
          <w:kern w:val="0"/>
          <w:sz w:val="24"/>
          <w:szCs w:val="24"/>
        </w:rPr>
        <w:t>主要产品的软件著作权或专利权等自主知识产权的有效证明文件，以及第三方检测机构提供的软件产品测试报告。主营业务仅为技术服务的企业提供核心技术说明；</w:t>
      </w:r>
    </w:p>
    <w:p w14:paraId="411EDF31"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lastRenderedPageBreak/>
        <w:t xml:space="preserve">　　4.企业职工人数、学历结构、研究开发人员及其占企业职工总数的比例说明，以及汇算清缴年度最后一个月社会保险缴纳证明等相关证明材料；</w:t>
      </w:r>
    </w:p>
    <w:p w14:paraId="586539A9"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5.经具有资质的中介机构</w:t>
      </w:r>
      <w:proofErr w:type="gramStart"/>
      <w:r w:rsidRPr="00D71078">
        <w:rPr>
          <w:rFonts w:ascii="微软雅黑" w:eastAsia="微软雅黑" w:hAnsi="微软雅黑" w:cs="宋体" w:hint="eastAsia"/>
          <w:color w:val="333333"/>
          <w:kern w:val="0"/>
          <w:sz w:val="24"/>
          <w:szCs w:val="24"/>
        </w:rPr>
        <w:t>鉴证</w:t>
      </w:r>
      <w:proofErr w:type="gramEnd"/>
      <w:r w:rsidRPr="00D71078">
        <w:rPr>
          <w:rFonts w:ascii="微软雅黑" w:eastAsia="微软雅黑" w:hAnsi="微软雅黑" w:cs="宋体" w:hint="eastAsia"/>
          <w:color w:val="333333"/>
          <w:kern w:val="0"/>
          <w:sz w:val="24"/>
          <w:szCs w:val="24"/>
        </w:rPr>
        <w:t>的企业财务会计报告（包括会计报表、会计报表附注和财务情况说明书）以及软件产品开发销售（营业）收入、软件产品自主开发销售（营业）收入、研究开发费用、境内研究开发费用等情况说明；</w:t>
      </w:r>
    </w:p>
    <w:p w14:paraId="3E61E096"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6.与主要客户签订的一至两份代表性的软件产品销售合同</w:t>
      </w:r>
    </w:p>
    <w:p w14:paraId="4BF1AC50"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或技术服务合同复印件及相关发票复印件；</w:t>
      </w:r>
    </w:p>
    <w:p w14:paraId="116C6064"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7.企业开发环境相关证明材料；</w:t>
      </w:r>
    </w:p>
    <w:p w14:paraId="05BAA251"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8.核查年度经税务机关备案的企业所得税年度纳税申报表复印件、年度汇算清缴报告主表复印件；</w:t>
      </w:r>
    </w:p>
    <w:p w14:paraId="63F1A390"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9.企业法定代表人签署的《软件企业承诺书》，对所提交材料的真实性、准确性以及汇算清缴年度未发生重大安全、质量事故或严重环境违法行为等予以承诺；</w:t>
      </w:r>
    </w:p>
    <w:p w14:paraId="481CB69C"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10.核查过程中需要补充的其他材料。</w:t>
      </w:r>
    </w:p>
    <w:p w14:paraId="10965CB6"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b/>
          <w:bCs/>
          <w:color w:val="333333"/>
          <w:kern w:val="0"/>
          <w:sz w:val="24"/>
          <w:szCs w:val="24"/>
        </w:rPr>
        <w:t xml:space="preserve">　　国发〔2020〕8号：国家对软件企业实施的所得税优惠政策条件和范围，根据产业技术进步情况进行动态调整。</w:t>
      </w:r>
    </w:p>
    <w:p w14:paraId="736F6404"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b/>
          <w:bCs/>
          <w:color w:val="333333"/>
          <w:kern w:val="0"/>
          <w:sz w:val="24"/>
          <w:szCs w:val="24"/>
        </w:rPr>
        <w:t xml:space="preserve">　　（四）重点软件企业核查资料如下：</w:t>
      </w:r>
    </w:p>
    <w:p w14:paraId="135CEC9C"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1.提供（三）中软件企业核查资料；</w:t>
      </w:r>
    </w:p>
    <w:p w14:paraId="6EEDD996"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lastRenderedPageBreak/>
        <w:t xml:space="preserve">　　2.符合第二类条件的，应提供在国家规定的重点软件领域内销售（营业）情况说明；</w:t>
      </w:r>
    </w:p>
    <w:p w14:paraId="35C1432F"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3.符合第三类条件的，应提供商务主管部门核发的软件出口合同登记证书，以及有效出口合同和结汇证明等材料。</w:t>
      </w:r>
    </w:p>
    <w:p w14:paraId="523B26EF"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b/>
          <w:bCs/>
          <w:color w:val="333333"/>
          <w:kern w:val="0"/>
          <w:sz w:val="24"/>
          <w:szCs w:val="24"/>
        </w:rPr>
        <w:t xml:space="preserve">　　国发〔2020〕8号：国家对软件企业实施的所得税优惠政策条件和范围，根据产业技术进步情况进行动态调整。</w:t>
      </w:r>
    </w:p>
    <w:p w14:paraId="425175E4"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w:t>
      </w:r>
      <w:r w:rsidRPr="00D71078">
        <w:rPr>
          <w:rFonts w:ascii="微软雅黑" w:eastAsia="微软雅黑" w:hAnsi="微软雅黑" w:cs="宋体" w:hint="eastAsia"/>
          <w:b/>
          <w:bCs/>
          <w:color w:val="333333"/>
          <w:kern w:val="0"/>
          <w:sz w:val="24"/>
          <w:szCs w:val="24"/>
        </w:rPr>
        <w:t>三、申报程序</w:t>
      </w:r>
    </w:p>
    <w:p w14:paraId="4A248837"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财政部 税务总局 发展改革委 工业和信息化部公告2020年第45号：采取清单进行管理的，由国家发展改革委、工业和信息化部于每年3月底前按规定向财政部、税务总局提供上一年度可享受优惠的企业和项目清单；不采取清单进行管理的，税务机关按照财税〔2016〕49号第十条的规定转请发展改革、工业和信息化部门进行核查。</w:t>
      </w:r>
    </w:p>
    <w:p w14:paraId="768A7E65"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b/>
          <w:bCs/>
          <w:color w:val="333333"/>
          <w:kern w:val="0"/>
          <w:sz w:val="24"/>
          <w:szCs w:val="24"/>
        </w:rPr>
        <w:t xml:space="preserve">　　重点软件企业</w:t>
      </w:r>
      <w:r w:rsidRPr="00D71078">
        <w:rPr>
          <w:rFonts w:ascii="微软雅黑" w:eastAsia="微软雅黑" w:hAnsi="微软雅黑" w:cs="宋体" w:hint="eastAsia"/>
          <w:color w:val="333333"/>
          <w:kern w:val="0"/>
          <w:sz w:val="24"/>
          <w:szCs w:val="24"/>
        </w:rPr>
        <w:t>采取清单进行管理，</w:t>
      </w:r>
      <w:r w:rsidRPr="00D71078">
        <w:rPr>
          <w:rFonts w:ascii="微软雅黑" w:eastAsia="微软雅黑" w:hAnsi="微软雅黑" w:cs="宋体" w:hint="eastAsia"/>
          <w:b/>
          <w:bCs/>
          <w:color w:val="333333"/>
          <w:kern w:val="0"/>
          <w:sz w:val="24"/>
          <w:szCs w:val="24"/>
        </w:rPr>
        <w:t>软件企业</w:t>
      </w:r>
      <w:r w:rsidRPr="00D71078">
        <w:rPr>
          <w:rFonts w:ascii="微软雅黑" w:eastAsia="微软雅黑" w:hAnsi="微软雅黑" w:cs="宋体" w:hint="eastAsia"/>
          <w:color w:val="333333"/>
          <w:kern w:val="0"/>
          <w:sz w:val="24"/>
          <w:szCs w:val="24"/>
        </w:rPr>
        <w:t>按照财税〔2016〕49号第十条的规定转请发展改革、工业和信息化部门进行核查。</w:t>
      </w:r>
    </w:p>
    <w:p w14:paraId="3A1FCF6B"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软件企业根据《国家税务总局关于发布修订后的&lt;企业所得税优惠政策事项办理办法&gt;的公告》（税务总局〔2018〕23号），享受优惠事项采取“自行判别、申报享受、相关资料留存备查”的办理方式。</w:t>
      </w:r>
      <w:r w:rsidRPr="00D71078">
        <w:rPr>
          <w:rFonts w:ascii="微软雅黑" w:eastAsia="微软雅黑" w:hAnsi="微软雅黑" w:cs="宋体" w:hint="eastAsia"/>
          <w:b/>
          <w:bCs/>
          <w:color w:val="333333"/>
          <w:kern w:val="0"/>
          <w:sz w:val="24"/>
          <w:szCs w:val="24"/>
        </w:rPr>
        <w:t>企业应当根据经营情况以及相关税收规定自行判断是否符合优惠事项规定的条件，符合条件的可以按照公告中《目录》列示的时间自行计算减免税额，并通过填报企业所得税纳税申</w:t>
      </w:r>
      <w:r w:rsidRPr="00D71078">
        <w:rPr>
          <w:rFonts w:ascii="微软雅黑" w:eastAsia="微软雅黑" w:hAnsi="微软雅黑" w:cs="宋体" w:hint="eastAsia"/>
          <w:b/>
          <w:bCs/>
          <w:color w:val="333333"/>
          <w:kern w:val="0"/>
          <w:sz w:val="24"/>
          <w:szCs w:val="24"/>
        </w:rPr>
        <w:lastRenderedPageBreak/>
        <w:t>报</w:t>
      </w:r>
      <w:proofErr w:type="gramStart"/>
      <w:r w:rsidRPr="00D71078">
        <w:rPr>
          <w:rFonts w:ascii="微软雅黑" w:eastAsia="微软雅黑" w:hAnsi="微软雅黑" w:cs="宋体" w:hint="eastAsia"/>
          <w:b/>
          <w:bCs/>
          <w:color w:val="333333"/>
          <w:kern w:val="0"/>
          <w:sz w:val="24"/>
          <w:szCs w:val="24"/>
        </w:rPr>
        <w:t>表享受</w:t>
      </w:r>
      <w:proofErr w:type="gramEnd"/>
      <w:r w:rsidRPr="00D71078">
        <w:rPr>
          <w:rFonts w:ascii="微软雅黑" w:eastAsia="微软雅黑" w:hAnsi="微软雅黑" w:cs="宋体" w:hint="eastAsia"/>
          <w:b/>
          <w:bCs/>
          <w:color w:val="333333"/>
          <w:kern w:val="0"/>
          <w:sz w:val="24"/>
          <w:szCs w:val="24"/>
        </w:rPr>
        <w:t>税收优惠。</w:t>
      </w:r>
      <w:r w:rsidRPr="00D71078">
        <w:rPr>
          <w:rFonts w:ascii="微软雅黑" w:eastAsia="微软雅黑" w:hAnsi="微软雅黑" w:cs="宋体" w:hint="eastAsia"/>
          <w:color w:val="333333"/>
          <w:kern w:val="0"/>
          <w:sz w:val="24"/>
          <w:szCs w:val="24"/>
        </w:rPr>
        <w:t>在完成年度汇算清缴后，按照《目录》“后续管理要求”项目中列示的清单向税务机关提交资料。有关步骤如下：</w:t>
      </w:r>
    </w:p>
    <w:p w14:paraId="716516E8" w14:textId="4A59FF13" w:rsidR="00D71078" w:rsidRPr="00D71078" w:rsidRDefault="00D71078" w:rsidP="00D71078">
      <w:pPr>
        <w:widowControl/>
        <w:shd w:val="clear" w:color="auto" w:fill="FFFFFF"/>
        <w:spacing w:before="100" w:beforeAutospacing="1" w:after="100" w:afterAutospacing="1" w:line="420" w:lineRule="atLeast"/>
        <w:jc w:val="center"/>
        <w:rPr>
          <w:rFonts w:ascii="微软雅黑" w:eastAsia="微软雅黑" w:hAnsi="微软雅黑" w:cs="宋体" w:hint="eastAsia"/>
          <w:color w:val="333333"/>
          <w:kern w:val="0"/>
          <w:szCs w:val="21"/>
        </w:rPr>
      </w:pPr>
      <w:r w:rsidRPr="00D71078">
        <w:rPr>
          <w:rFonts w:ascii="微软雅黑" w:eastAsia="微软雅黑" w:hAnsi="微软雅黑" w:cs="宋体"/>
          <w:noProof/>
          <w:color w:val="333333"/>
          <w:kern w:val="0"/>
          <w:szCs w:val="21"/>
        </w:rPr>
        <w:drawing>
          <wp:inline distT="0" distB="0" distL="0" distR="0" wp14:anchorId="32C42008" wp14:editId="51DA9A30">
            <wp:extent cx="5274310" cy="5880735"/>
            <wp:effectExtent l="0" t="0" r="254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5880735"/>
                    </a:xfrm>
                    <a:prstGeom prst="rect">
                      <a:avLst/>
                    </a:prstGeom>
                    <a:noFill/>
                    <a:ln>
                      <a:noFill/>
                    </a:ln>
                  </pic:spPr>
                </pic:pic>
              </a:graphicData>
            </a:graphic>
          </wp:inline>
        </w:drawing>
      </w:r>
    </w:p>
    <w:p w14:paraId="4E2CB6B8"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b/>
          <w:bCs/>
          <w:color w:val="333333"/>
          <w:kern w:val="0"/>
          <w:sz w:val="24"/>
          <w:szCs w:val="24"/>
        </w:rPr>
        <w:t xml:space="preserve">　　（一）软件企业核查工作流程</w:t>
      </w:r>
    </w:p>
    <w:p w14:paraId="246A952D"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1.登录系统。企业注册、登录“广东省软件和集成电路设计企业核查系统”，核对、补充核查资料。</w:t>
      </w:r>
      <w:r w:rsidRPr="00D71078">
        <w:rPr>
          <w:rFonts w:ascii="微软雅黑" w:eastAsia="微软雅黑" w:hAnsi="微软雅黑" w:cs="宋体" w:hint="eastAsia"/>
          <w:b/>
          <w:bCs/>
          <w:color w:val="333333"/>
          <w:kern w:val="0"/>
          <w:sz w:val="24"/>
          <w:szCs w:val="24"/>
        </w:rPr>
        <w:t>特别注意：每一份证明材料扫描为一个连续的文档，格式要求为PDF格式。</w:t>
      </w:r>
    </w:p>
    <w:p w14:paraId="27E99B24"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lastRenderedPageBreak/>
        <w:t xml:space="preserve">　　2.资料核查。广州市软件企业和集成电路设计企业由广州市工业和信息化主管部门登录“广东省软件和集成电路设计企业核查系统”进行系统核查，并按照不低于20%的比例进行实地核查。</w:t>
      </w:r>
    </w:p>
    <w:p w14:paraId="47F18BF8"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3.结果公示。广州市工业和信息化局在</w:t>
      </w:r>
      <w:proofErr w:type="gramStart"/>
      <w:r w:rsidRPr="00D71078">
        <w:rPr>
          <w:rFonts w:ascii="微软雅黑" w:eastAsia="微软雅黑" w:hAnsi="微软雅黑" w:cs="宋体" w:hint="eastAsia"/>
          <w:color w:val="333333"/>
          <w:kern w:val="0"/>
          <w:sz w:val="24"/>
          <w:szCs w:val="24"/>
        </w:rPr>
        <w:t>官网和微信公众号</w:t>
      </w:r>
      <w:proofErr w:type="gramEnd"/>
      <w:r w:rsidRPr="00D71078">
        <w:rPr>
          <w:rFonts w:ascii="微软雅黑" w:eastAsia="微软雅黑" w:hAnsi="微软雅黑" w:cs="宋体" w:hint="eastAsia"/>
          <w:color w:val="333333"/>
          <w:kern w:val="0"/>
          <w:sz w:val="24"/>
          <w:szCs w:val="24"/>
        </w:rPr>
        <w:t>对广州市软件企业核查结果进行公示（5个工作日）。</w:t>
      </w:r>
    </w:p>
    <w:p w14:paraId="18938568"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4.结果反馈。广州市工业和信息化局在收到享受优惠政策的企业名单和备案资料40天内将经公示的核查结果报送省工业和信息化厅。省工业和信息化厅在收到享受优惠政策的企业名单和备案资料两个月内，将核查结果反馈给省级税务部门。经核查，对不符合条件或存在违反国家法律法规、标准规范情况，或提供虚假核查备案资料的企业，将按有关规定进行处理。</w:t>
      </w:r>
    </w:p>
    <w:p w14:paraId="6E71B83A"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（二）纳税申报</w:t>
      </w:r>
      <w:proofErr w:type="gramStart"/>
      <w:r w:rsidRPr="00D71078">
        <w:rPr>
          <w:rFonts w:ascii="微软雅黑" w:eastAsia="微软雅黑" w:hAnsi="微软雅黑" w:cs="宋体" w:hint="eastAsia"/>
          <w:color w:val="333333"/>
          <w:kern w:val="0"/>
          <w:sz w:val="24"/>
          <w:szCs w:val="24"/>
        </w:rPr>
        <w:t>表需填</w:t>
      </w:r>
      <w:proofErr w:type="gramEnd"/>
      <w:r w:rsidRPr="00D71078">
        <w:rPr>
          <w:rFonts w:ascii="微软雅黑" w:eastAsia="微软雅黑" w:hAnsi="微软雅黑" w:cs="宋体" w:hint="eastAsia"/>
          <w:color w:val="333333"/>
          <w:kern w:val="0"/>
          <w:sz w:val="24"/>
          <w:szCs w:val="24"/>
        </w:rPr>
        <w:t>内容：</w:t>
      </w:r>
    </w:p>
    <w:p w14:paraId="1BB573EC" w14:textId="13F6D741" w:rsidR="00D71078" w:rsidRPr="00D71078" w:rsidRDefault="00D71078" w:rsidP="00D71078">
      <w:pPr>
        <w:widowControl/>
        <w:shd w:val="clear" w:color="auto" w:fill="FFFFFF"/>
        <w:spacing w:before="100" w:beforeAutospacing="1" w:after="100" w:afterAutospacing="1" w:line="420" w:lineRule="atLeast"/>
        <w:jc w:val="center"/>
        <w:rPr>
          <w:rFonts w:ascii="微软雅黑" w:eastAsia="微软雅黑" w:hAnsi="微软雅黑" w:cs="宋体" w:hint="eastAsia"/>
          <w:color w:val="333333"/>
          <w:kern w:val="0"/>
          <w:szCs w:val="21"/>
        </w:rPr>
      </w:pPr>
      <w:r w:rsidRPr="00D71078">
        <w:rPr>
          <w:rFonts w:ascii="微软雅黑" w:eastAsia="微软雅黑" w:hAnsi="微软雅黑" w:cs="宋体"/>
          <w:noProof/>
          <w:color w:val="333333"/>
          <w:kern w:val="0"/>
          <w:szCs w:val="21"/>
        </w:rPr>
        <w:lastRenderedPageBreak/>
        <w:drawing>
          <wp:inline distT="0" distB="0" distL="0" distR="0" wp14:anchorId="290DA1BC" wp14:editId="5308CEEA">
            <wp:extent cx="5274310" cy="429704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4297045"/>
                    </a:xfrm>
                    <a:prstGeom prst="rect">
                      <a:avLst/>
                    </a:prstGeom>
                    <a:noFill/>
                    <a:ln>
                      <a:noFill/>
                    </a:ln>
                  </pic:spPr>
                </pic:pic>
              </a:graphicData>
            </a:graphic>
          </wp:inline>
        </w:drawing>
      </w:r>
    </w:p>
    <w:p w14:paraId="1B2CD91D" w14:textId="2DC9F365" w:rsidR="00D71078" w:rsidRPr="00D71078" w:rsidRDefault="00D71078" w:rsidP="00D71078">
      <w:pPr>
        <w:widowControl/>
        <w:shd w:val="clear" w:color="auto" w:fill="FFFFFF"/>
        <w:spacing w:before="100" w:beforeAutospacing="1" w:after="100" w:afterAutospacing="1" w:line="420" w:lineRule="atLeast"/>
        <w:jc w:val="center"/>
        <w:rPr>
          <w:rFonts w:ascii="微软雅黑" w:eastAsia="微软雅黑" w:hAnsi="微软雅黑" w:cs="宋体" w:hint="eastAsia"/>
          <w:color w:val="333333"/>
          <w:kern w:val="0"/>
          <w:szCs w:val="21"/>
        </w:rPr>
      </w:pPr>
      <w:r w:rsidRPr="00D71078">
        <w:rPr>
          <w:rFonts w:ascii="微软雅黑" w:eastAsia="微软雅黑" w:hAnsi="微软雅黑" w:cs="宋体"/>
          <w:noProof/>
          <w:color w:val="333333"/>
          <w:kern w:val="0"/>
          <w:szCs w:val="21"/>
        </w:rPr>
        <w:lastRenderedPageBreak/>
        <w:drawing>
          <wp:inline distT="0" distB="0" distL="0" distR="0" wp14:anchorId="0B026013" wp14:editId="0C1F74A1">
            <wp:extent cx="5274310" cy="43053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4305300"/>
                    </a:xfrm>
                    <a:prstGeom prst="rect">
                      <a:avLst/>
                    </a:prstGeom>
                    <a:noFill/>
                    <a:ln>
                      <a:noFill/>
                    </a:ln>
                  </pic:spPr>
                </pic:pic>
              </a:graphicData>
            </a:graphic>
          </wp:inline>
        </w:drawing>
      </w:r>
    </w:p>
    <w:p w14:paraId="2291DFBD" w14:textId="51569D86" w:rsidR="00D71078" w:rsidRPr="00D71078" w:rsidRDefault="00D71078" w:rsidP="00D71078">
      <w:pPr>
        <w:widowControl/>
        <w:shd w:val="clear" w:color="auto" w:fill="FFFFFF"/>
        <w:spacing w:before="100" w:beforeAutospacing="1" w:after="100" w:afterAutospacing="1" w:line="420" w:lineRule="atLeast"/>
        <w:jc w:val="center"/>
        <w:rPr>
          <w:rFonts w:ascii="微软雅黑" w:eastAsia="微软雅黑" w:hAnsi="微软雅黑" w:cs="宋体" w:hint="eastAsia"/>
          <w:color w:val="333333"/>
          <w:kern w:val="0"/>
          <w:szCs w:val="21"/>
        </w:rPr>
      </w:pPr>
      <w:r w:rsidRPr="00D71078">
        <w:rPr>
          <w:rFonts w:ascii="微软雅黑" w:eastAsia="微软雅黑" w:hAnsi="微软雅黑" w:cs="宋体"/>
          <w:noProof/>
          <w:color w:val="333333"/>
          <w:kern w:val="0"/>
          <w:szCs w:val="21"/>
        </w:rPr>
        <w:lastRenderedPageBreak/>
        <w:drawing>
          <wp:inline distT="0" distB="0" distL="0" distR="0" wp14:anchorId="752C63E9" wp14:editId="26E8F047">
            <wp:extent cx="5274310" cy="44894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4489450"/>
                    </a:xfrm>
                    <a:prstGeom prst="rect">
                      <a:avLst/>
                    </a:prstGeom>
                    <a:noFill/>
                    <a:ln>
                      <a:noFill/>
                    </a:ln>
                  </pic:spPr>
                </pic:pic>
              </a:graphicData>
            </a:graphic>
          </wp:inline>
        </w:drawing>
      </w:r>
    </w:p>
    <w:p w14:paraId="514123F6" w14:textId="0D516EB0" w:rsidR="00D71078" w:rsidRPr="00D71078" w:rsidRDefault="00D71078" w:rsidP="00D71078">
      <w:pPr>
        <w:widowControl/>
        <w:shd w:val="clear" w:color="auto" w:fill="FFFFFF"/>
        <w:spacing w:before="100" w:beforeAutospacing="1" w:after="100" w:afterAutospacing="1" w:line="420" w:lineRule="atLeast"/>
        <w:jc w:val="center"/>
        <w:rPr>
          <w:rFonts w:ascii="微软雅黑" w:eastAsia="微软雅黑" w:hAnsi="微软雅黑" w:cs="宋体" w:hint="eastAsia"/>
          <w:color w:val="333333"/>
          <w:kern w:val="0"/>
          <w:szCs w:val="21"/>
        </w:rPr>
      </w:pPr>
      <w:r w:rsidRPr="00D71078">
        <w:rPr>
          <w:rFonts w:ascii="微软雅黑" w:eastAsia="微软雅黑" w:hAnsi="微软雅黑" w:cs="宋体"/>
          <w:noProof/>
          <w:color w:val="333333"/>
          <w:kern w:val="0"/>
          <w:szCs w:val="21"/>
        </w:rPr>
        <w:lastRenderedPageBreak/>
        <w:drawing>
          <wp:inline distT="0" distB="0" distL="0" distR="0" wp14:anchorId="4301C586" wp14:editId="2614F6EB">
            <wp:extent cx="5274310" cy="425259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4252595"/>
                    </a:xfrm>
                    <a:prstGeom prst="rect">
                      <a:avLst/>
                    </a:prstGeom>
                    <a:noFill/>
                    <a:ln>
                      <a:noFill/>
                    </a:ln>
                  </pic:spPr>
                </pic:pic>
              </a:graphicData>
            </a:graphic>
          </wp:inline>
        </w:drawing>
      </w:r>
    </w:p>
    <w:p w14:paraId="4B0D6716" w14:textId="6AC83013" w:rsidR="00D71078" w:rsidRPr="00D71078" w:rsidRDefault="00D71078" w:rsidP="00D71078">
      <w:pPr>
        <w:widowControl/>
        <w:shd w:val="clear" w:color="auto" w:fill="FFFFFF"/>
        <w:spacing w:before="100" w:beforeAutospacing="1" w:after="100" w:afterAutospacing="1" w:line="420" w:lineRule="atLeast"/>
        <w:jc w:val="center"/>
        <w:rPr>
          <w:rFonts w:ascii="微软雅黑" w:eastAsia="微软雅黑" w:hAnsi="微软雅黑" w:cs="宋体" w:hint="eastAsia"/>
          <w:color w:val="333333"/>
          <w:kern w:val="0"/>
          <w:szCs w:val="21"/>
        </w:rPr>
      </w:pPr>
      <w:r w:rsidRPr="00D71078">
        <w:rPr>
          <w:rFonts w:ascii="微软雅黑" w:eastAsia="微软雅黑" w:hAnsi="微软雅黑" w:cs="宋体"/>
          <w:noProof/>
          <w:color w:val="333333"/>
          <w:kern w:val="0"/>
          <w:szCs w:val="21"/>
        </w:rPr>
        <w:drawing>
          <wp:inline distT="0" distB="0" distL="0" distR="0" wp14:anchorId="36038477" wp14:editId="18E6D6B9">
            <wp:extent cx="5274310" cy="41008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4100830"/>
                    </a:xfrm>
                    <a:prstGeom prst="rect">
                      <a:avLst/>
                    </a:prstGeom>
                    <a:noFill/>
                    <a:ln>
                      <a:noFill/>
                    </a:ln>
                  </pic:spPr>
                </pic:pic>
              </a:graphicData>
            </a:graphic>
          </wp:inline>
        </w:drawing>
      </w:r>
    </w:p>
    <w:p w14:paraId="5C38A536"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b/>
          <w:bCs/>
          <w:color w:val="333333"/>
          <w:kern w:val="0"/>
          <w:sz w:val="24"/>
          <w:szCs w:val="24"/>
        </w:rPr>
        <w:lastRenderedPageBreak/>
        <w:t xml:space="preserve">　　四、常见问题</w:t>
      </w:r>
    </w:p>
    <w:p w14:paraId="0426E9E1"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b/>
          <w:bCs/>
          <w:color w:val="333333"/>
          <w:kern w:val="0"/>
          <w:sz w:val="24"/>
          <w:szCs w:val="24"/>
        </w:rPr>
        <w:t xml:space="preserve">　　1.申请软件企业所得税优惠后，可否同时享受小微企业、高新企业所得税优惠？</w:t>
      </w:r>
    </w:p>
    <w:p w14:paraId="63E7075F"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答：如企业同时符合小型微利、高新企业条件，由于企业所得税的税率</w:t>
      </w:r>
      <w:proofErr w:type="gramStart"/>
      <w:r w:rsidRPr="00D71078">
        <w:rPr>
          <w:rFonts w:ascii="微软雅黑" w:eastAsia="微软雅黑" w:hAnsi="微软雅黑" w:cs="宋体" w:hint="eastAsia"/>
          <w:color w:val="333333"/>
          <w:kern w:val="0"/>
          <w:sz w:val="24"/>
          <w:szCs w:val="24"/>
        </w:rPr>
        <w:t>式优惠</w:t>
      </w:r>
      <w:proofErr w:type="gramEnd"/>
      <w:r w:rsidRPr="00D71078">
        <w:rPr>
          <w:rFonts w:ascii="微软雅黑" w:eastAsia="微软雅黑" w:hAnsi="微软雅黑" w:cs="宋体" w:hint="eastAsia"/>
          <w:color w:val="333333"/>
          <w:kern w:val="0"/>
          <w:sz w:val="24"/>
          <w:szCs w:val="24"/>
        </w:rPr>
        <w:t>不可叠加，可比较后选择最优惠的税率进行享受。</w:t>
      </w:r>
    </w:p>
    <w:p w14:paraId="3112AEEA"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b/>
          <w:bCs/>
          <w:color w:val="333333"/>
          <w:kern w:val="0"/>
          <w:sz w:val="24"/>
          <w:szCs w:val="24"/>
        </w:rPr>
        <w:t xml:space="preserve">　　2.申请“两免三减半”所得税优惠的企业可以自行选择批次吗？</w:t>
      </w:r>
    </w:p>
    <w:p w14:paraId="34CD13F6"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答：企业可根据自身的核算进度在年度汇算清缴期结束前进行企业所得税申报，税务机关将在3月和6</w:t>
      </w:r>
      <w:proofErr w:type="gramStart"/>
      <w:r w:rsidRPr="00D71078">
        <w:rPr>
          <w:rFonts w:ascii="微软雅黑" w:eastAsia="微软雅黑" w:hAnsi="微软雅黑" w:cs="宋体" w:hint="eastAsia"/>
          <w:color w:val="333333"/>
          <w:kern w:val="0"/>
          <w:sz w:val="24"/>
          <w:szCs w:val="24"/>
        </w:rPr>
        <w:t>月分</w:t>
      </w:r>
      <w:proofErr w:type="gramEnd"/>
      <w:r w:rsidRPr="00D71078">
        <w:rPr>
          <w:rFonts w:ascii="微软雅黑" w:eastAsia="微软雅黑" w:hAnsi="微软雅黑" w:cs="宋体" w:hint="eastAsia"/>
          <w:color w:val="333333"/>
          <w:kern w:val="0"/>
          <w:sz w:val="24"/>
          <w:szCs w:val="24"/>
        </w:rPr>
        <w:t>两批将已申报享受优惠政策的企业名单和相关资料报送相关部门核查。同时也要注意，对自身条件判断没有把握的企业应尽可能提前履行汇算清缴纳税申报工作，列入税务部门第一批提交核查的名单当中。如经核查不符合减免税条件的，可在汇算清缴期内补缴税款，避免加收滞纳金。</w:t>
      </w:r>
    </w:p>
    <w:p w14:paraId="3A838CC0"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b/>
          <w:bCs/>
          <w:color w:val="333333"/>
          <w:kern w:val="0"/>
          <w:sz w:val="24"/>
          <w:szCs w:val="24"/>
        </w:rPr>
        <w:t xml:space="preserve">　　3.公司1997年成立，之前为商贸企业，于2017年起变更行业性质为软件企业，是否可以申请享受“两免三减半”？</w:t>
      </w:r>
    </w:p>
    <w:p w14:paraId="63BB670F"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答：申请“两免三减半”的软件企业自获利年度起计算优惠期，其获利年度是指软件企业开始生产经营后，第一个应纳税所得额大于零的纳税年度，包括对企业所得税实行核定征收方式的纳税年度。</w:t>
      </w:r>
    </w:p>
    <w:p w14:paraId="276D84F7"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b/>
          <w:bCs/>
          <w:color w:val="333333"/>
          <w:kern w:val="0"/>
          <w:sz w:val="24"/>
          <w:szCs w:val="24"/>
        </w:rPr>
        <w:t xml:space="preserve">　　4.2019年研发费用可以加计扣除75%吗？若是软件持续升级研发，研发费用能否持续享受加计扣除政策？</w:t>
      </w:r>
    </w:p>
    <w:p w14:paraId="2F92BB64"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lastRenderedPageBreak/>
        <w:t xml:space="preserve">　　答：企业开展研发活动中实际发生的研发费用，未形成无形资产计入当期损益的，在按规定据实扣除的基础上，在2018年1月1日至2020年12月31日期间，再按照实际发生额的75%在税前加计扣除；形成无形资产的，在上述期间按照无形资产成本的175%在税前摊销。企业的研发费用只要符合税法相关规定，都可以享受加计扣除政策。</w:t>
      </w:r>
    </w:p>
    <w:p w14:paraId="2B2BC5FE"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b/>
          <w:bCs/>
          <w:color w:val="333333"/>
          <w:kern w:val="0"/>
          <w:sz w:val="24"/>
          <w:szCs w:val="24"/>
        </w:rPr>
        <w:t xml:space="preserve">　　5.符合《财政部 税务总局 发展改革委 工业和信息化部关于促进集成电路产业和软件产业高质量发展企业所得税政策的公告》（2020年第45号，以下简称45号公告）第一条至第四条规定但不符合原有政策规定的企业或项目，在2019年（含）之前已进入优惠期的，如何享受税收优惠？</w:t>
      </w:r>
    </w:p>
    <w:p w14:paraId="495772DF"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w:t>
      </w:r>
      <w:r w:rsidRPr="00D71078">
        <w:rPr>
          <w:rFonts w:ascii="微软雅黑" w:eastAsia="微软雅黑" w:hAnsi="微软雅黑" w:cs="宋体" w:hint="eastAsia"/>
          <w:b/>
          <w:bCs/>
          <w:color w:val="333333"/>
          <w:kern w:val="0"/>
          <w:sz w:val="24"/>
          <w:szCs w:val="24"/>
        </w:rPr>
        <w:t>答：</w:t>
      </w:r>
      <w:r w:rsidRPr="00D71078">
        <w:rPr>
          <w:rFonts w:ascii="微软雅黑" w:eastAsia="微软雅黑" w:hAnsi="微软雅黑" w:cs="宋体" w:hint="eastAsia"/>
          <w:color w:val="333333"/>
          <w:kern w:val="0"/>
          <w:sz w:val="24"/>
          <w:szCs w:val="24"/>
        </w:rPr>
        <w:t>符合45号公告第一条至第四条规定但不符合原有政策规定的企业或项目，可按规定自获利年度或取得第一笔生产经营收入所属纳税年度起开始计算优惠期，从2020年开始，就剩余期限享受相应的优惠至期满为止。</w:t>
      </w:r>
    </w:p>
    <w:p w14:paraId="3ADEA76F"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b/>
          <w:bCs/>
          <w:color w:val="333333"/>
          <w:kern w:val="0"/>
          <w:sz w:val="24"/>
          <w:szCs w:val="24"/>
        </w:rPr>
        <w:t xml:space="preserve">　　6.45号公告执行以后，企业不符合新规定，还能否继续享受原有集成电路和软件产业所得税优惠政策？</w:t>
      </w:r>
    </w:p>
    <w:p w14:paraId="0ACA1FAD"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w:t>
      </w:r>
      <w:r w:rsidRPr="00D71078">
        <w:rPr>
          <w:rFonts w:ascii="微软雅黑" w:eastAsia="微软雅黑" w:hAnsi="微软雅黑" w:cs="宋体" w:hint="eastAsia"/>
          <w:b/>
          <w:bCs/>
          <w:color w:val="333333"/>
          <w:kern w:val="0"/>
          <w:sz w:val="24"/>
          <w:szCs w:val="24"/>
        </w:rPr>
        <w:t>答：</w:t>
      </w:r>
      <w:r w:rsidRPr="00D71078">
        <w:rPr>
          <w:rFonts w:ascii="微软雅黑" w:eastAsia="微软雅黑" w:hAnsi="微软雅黑" w:cs="宋体" w:hint="eastAsia"/>
          <w:color w:val="333333"/>
          <w:kern w:val="0"/>
          <w:sz w:val="24"/>
          <w:szCs w:val="24"/>
        </w:rPr>
        <w:t>对于符合原有政策条件且在2019年（含）之前已经进入优惠期的企业或项目，2020年（含）起可按原有政策规定继续享受至期满为止；2019年（含）之前尚未进入优惠期的企业或项目，2020年（含）起不再执行原有政策。</w:t>
      </w:r>
    </w:p>
    <w:p w14:paraId="072DD4DE"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b/>
          <w:bCs/>
          <w:color w:val="333333"/>
          <w:kern w:val="0"/>
          <w:sz w:val="24"/>
          <w:szCs w:val="24"/>
        </w:rPr>
        <w:t>      7.对于2019年（含）之前已经进入优惠期的企业和项目，符合原有政策和45号公告第一条至第四条规定的，如何享受优惠？</w:t>
      </w:r>
    </w:p>
    <w:p w14:paraId="044BF1CA"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lastRenderedPageBreak/>
        <w:t xml:space="preserve">　　</w:t>
      </w:r>
      <w:r w:rsidRPr="00D71078">
        <w:rPr>
          <w:rFonts w:ascii="微软雅黑" w:eastAsia="微软雅黑" w:hAnsi="微软雅黑" w:cs="宋体" w:hint="eastAsia"/>
          <w:b/>
          <w:bCs/>
          <w:color w:val="333333"/>
          <w:kern w:val="0"/>
          <w:sz w:val="24"/>
          <w:szCs w:val="24"/>
        </w:rPr>
        <w:t>答：</w:t>
      </w:r>
      <w:r w:rsidRPr="00D71078">
        <w:rPr>
          <w:rFonts w:ascii="微软雅黑" w:eastAsia="微软雅黑" w:hAnsi="微软雅黑" w:cs="宋体" w:hint="eastAsia"/>
          <w:color w:val="333333"/>
          <w:kern w:val="0"/>
          <w:sz w:val="24"/>
          <w:szCs w:val="24"/>
        </w:rPr>
        <w:t>对于在2019年（含）之前已经进入优惠期的企业或项目，同时符合原有政策条件和45号公告政策条件的，可自行选择执行原有政策或45号公告政策。其中，选择执行45号公告政策的，就剩余期限享受优惠至期满为止。</w:t>
      </w:r>
    </w:p>
    <w:p w14:paraId="70877B24"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b/>
          <w:bCs/>
          <w:color w:val="333333"/>
          <w:kern w:val="0"/>
          <w:sz w:val="24"/>
          <w:szCs w:val="24"/>
        </w:rPr>
        <w:t>      8.与原有政策相比，45号公告第一至四条优惠政策的管理有什么变化？</w:t>
      </w:r>
    </w:p>
    <w:p w14:paraId="188C0D17"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w:t>
      </w:r>
      <w:r w:rsidRPr="00D71078">
        <w:rPr>
          <w:rFonts w:ascii="微软雅黑" w:eastAsia="微软雅黑" w:hAnsi="微软雅黑" w:cs="宋体" w:hint="eastAsia"/>
          <w:b/>
          <w:bCs/>
          <w:color w:val="333333"/>
          <w:kern w:val="0"/>
          <w:sz w:val="24"/>
          <w:szCs w:val="24"/>
        </w:rPr>
        <w:t>答：</w:t>
      </w:r>
      <w:r w:rsidRPr="00D71078">
        <w:rPr>
          <w:rFonts w:ascii="微软雅黑" w:eastAsia="微软雅黑" w:hAnsi="微软雅黑" w:cs="宋体" w:hint="eastAsia"/>
          <w:color w:val="333333"/>
          <w:kern w:val="0"/>
          <w:sz w:val="24"/>
          <w:szCs w:val="24"/>
        </w:rPr>
        <w:t>按照原有政策规定，企业享受集成电路和软件产业优惠的，税务机关按照《财政部 国家税务总局 发展改革委 工业和信息化部关于软件和集成电路产业企业所得税优惠政策有关问题的通知》（财税〔2016〕49号）第十条的规定转请发展改革、工业和信息化部门进行核查。对于45号公告规定的优惠，不再全部转请核查，而是按是否采取清单管理区分为两种不同的管理方式：采取清单方式进行管理的，由国家发展改革委、工业和信息化部于每年3月底前按规定向财政部、税务总局提供上一年度可享受优惠的企业和项目清单；不采取清单管理方式的，税务机关仍按照财税〔2016〕49号第十条的规定转请发展改革、工业和信息化部门进行核查。</w:t>
      </w:r>
    </w:p>
    <w:p w14:paraId="4FDEEC51"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b/>
          <w:bCs/>
          <w:color w:val="333333"/>
          <w:kern w:val="0"/>
          <w:sz w:val="24"/>
          <w:szCs w:val="24"/>
        </w:rPr>
        <w:t xml:space="preserve">　　9.45号公告发布后，相关清单和条件公布之前，纳税人怎样判别和享受优惠政策？</w:t>
      </w:r>
    </w:p>
    <w:p w14:paraId="361CCBC6" w14:textId="77777777" w:rsidR="00D71078" w:rsidRPr="00D71078" w:rsidRDefault="00D71078" w:rsidP="00D71078">
      <w:pPr>
        <w:widowControl/>
        <w:shd w:val="clear" w:color="auto" w:fill="FFFFFF"/>
        <w:spacing w:before="100" w:beforeAutospacing="1" w:after="100" w:afterAutospacing="1"/>
        <w:jc w:val="left"/>
        <w:rPr>
          <w:rFonts w:ascii="微软雅黑" w:eastAsia="微软雅黑" w:hAnsi="微软雅黑" w:cs="宋体" w:hint="eastAsia"/>
          <w:color w:val="333333"/>
          <w:kern w:val="0"/>
          <w:sz w:val="24"/>
          <w:szCs w:val="24"/>
        </w:rPr>
      </w:pPr>
      <w:r w:rsidRPr="00D71078">
        <w:rPr>
          <w:rFonts w:ascii="微软雅黑" w:eastAsia="微软雅黑" w:hAnsi="微软雅黑" w:cs="宋体" w:hint="eastAsia"/>
          <w:color w:val="333333"/>
          <w:kern w:val="0"/>
          <w:sz w:val="24"/>
          <w:szCs w:val="24"/>
        </w:rPr>
        <w:t xml:space="preserve">　　</w:t>
      </w:r>
      <w:r w:rsidRPr="00D71078">
        <w:rPr>
          <w:rFonts w:ascii="微软雅黑" w:eastAsia="微软雅黑" w:hAnsi="微软雅黑" w:cs="宋体" w:hint="eastAsia"/>
          <w:b/>
          <w:bCs/>
          <w:color w:val="333333"/>
          <w:kern w:val="0"/>
          <w:sz w:val="24"/>
          <w:szCs w:val="24"/>
        </w:rPr>
        <w:t>答：</w:t>
      </w:r>
      <w:r w:rsidRPr="00D71078">
        <w:rPr>
          <w:rFonts w:ascii="微软雅黑" w:eastAsia="微软雅黑" w:hAnsi="微软雅黑" w:cs="宋体" w:hint="eastAsia"/>
          <w:color w:val="333333"/>
          <w:kern w:val="0"/>
          <w:sz w:val="24"/>
          <w:szCs w:val="24"/>
        </w:rPr>
        <w:t>45号公告发布后，纳税人在2020年第四季度（或12月份）预缴申报享受第一条至第四条规定的优惠时，在相关清单和条件公布之前，可暂按原有条件自行判别、申报享受；相关清单和条件正式发布后，纳税人应在2020年度企业所得税汇算清缴时按规定执行。</w:t>
      </w:r>
    </w:p>
    <w:p w14:paraId="3C125731" w14:textId="799B5B5C" w:rsidR="00C06C60" w:rsidRPr="00D71078" w:rsidRDefault="00D71078" w:rsidP="00D71078">
      <w:pPr>
        <w:widowControl/>
        <w:shd w:val="clear" w:color="auto" w:fill="FFFFFF"/>
        <w:spacing w:before="100" w:beforeAutospacing="1" w:after="100" w:afterAutospacing="1"/>
        <w:jc w:val="left"/>
      </w:pPr>
      <w:r w:rsidRPr="00D71078">
        <w:rPr>
          <w:rFonts w:ascii="微软雅黑" w:eastAsia="微软雅黑" w:hAnsi="微软雅黑" w:cs="宋体" w:hint="eastAsia"/>
          <w:color w:val="333333"/>
          <w:kern w:val="0"/>
          <w:sz w:val="24"/>
          <w:szCs w:val="24"/>
        </w:rPr>
        <w:t xml:space="preserve">　　联系人：张美玉，咨询电话：020-38289551</w:t>
      </w:r>
    </w:p>
    <w:sectPr w:rsidR="00C06C60" w:rsidRPr="00D7107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D0D116" w14:textId="77777777" w:rsidR="00874B13" w:rsidRDefault="00874B13" w:rsidP="00D71078">
      <w:r>
        <w:separator/>
      </w:r>
    </w:p>
  </w:endnote>
  <w:endnote w:type="continuationSeparator" w:id="0">
    <w:p w14:paraId="54378732" w14:textId="77777777" w:rsidR="00874B13" w:rsidRDefault="00874B13" w:rsidP="00D71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21C421" w14:textId="77777777" w:rsidR="00874B13" w:rsidRDefault="00874B13" w:rsidP="00D71078">
      <w:r>
        <w:separator/>
      </w:r>
    </w:p>
  </w:footnote>
  <w:footnote w:type="continuationSeparator" w:id="0">
    <w:p w14:paraId="61FE9707" w14:textId="77777777" w:rsidR="00874B13" w:rsidRDefault="00874B13" w:rsidP="00D710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DF8"/>
    <w:rsid w:val="00874B13"/>
    <w:rsid w:val="00A70DF8"/>
    <w:rsid w:val="00C06C60"/>
    <w:rsid w:val="00D710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A8BDA67-8159-4C1D-AB24-5FB7FE73C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D71078"/>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107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71078"/>
    <w:rPr>
      <w:sz w:val="18"/>
      <w:szCs w:val="18"/>
    </w:rPr>
  </w:style>
  <w:style w:type="paragraph" w:styleId="a5">
    <w:name w:val="footer"/>
    <w:basedOn w:val="a"/>
    <w:link w:val="a6"/>
    <w:uiPriority w:val="99"/>
    <w:unhideWhenUsed/>
    <w:rsid w:val="00D71078"/>
    <w:pPr>
      <w:tabs>
        <w:tab w:val="center" w:pos="4153"/>
        <w:tab w:val="right" w:pos="8306"/>
      </w:tabs>
      <w:snapToGrid w:val="0"/>
      <w:jc w:val="left"/>
    </w:pPr>
    <w:rPr>
      <w:sz w:val="18"/>
      <w:szCs w:val="18"/>
    </w:rPr>
  </w:style>
  <w:style w:type="character" w:customStyle="1" w:styleId="a6">
    <w:name w:val="页脚 字符"/>
    <w:basedOn w:val="a0"/>
    <w:link w:val="a5"/>
    <w:uiPriority w:val="99"/>
    <w:rsid w:val="00D71078"/>
    <w:rPr>
      <w:sz w:val="18"/>
      <w:szCs w:val="18"/>
    </w:rPr>
  </w:style>
  <w:style w:type="character" w:customStyle="1" w:styleId="10">
    <w:name w:val="标题 1 字符"/>
    <w:basedOn w:val="a0"/>
    <w:link w:val="1"/>
    <w:uiPriority w:val="9"/>
    <w:rsid w:val="00D71078"/>
    <w:rPr>
      <w:rFonts w:ascii="宋体" w:eastAsia="宋体" w:hAnsi="宋体" w:cs="宋体"/>
      <w:b/>
      <w:bCs/>
      <w:kern w:val="36"/>
      <w:sz w:val="48"/>
      <w:szCs w:val="48"/>
    </w:rPr>
  </w:style>
  <w:style w:type="character" w:customStyle="1" w:styleId="ly">
    <w:name w:val="ly"/>
    <w:basedOn w:val="a0"/>
    <w:rsid w:val="00D71078"/>
  </w:style>
  <w:style w:type="character" w:customStyle="1" w:styleId="zh">
    <w:name w:val="zh"/>
    <w:basedOn w:val="a0"/>
    <w:rsid w:val="00D71078"/>
  </w:style>
  <w:style w:type="paragraph" w:styleId="a7">
    <w:name w:val="Normal (Web)"/>
    <w:basedOn w:val="a"/>
    <w:uiPriority w:val="99"/>
    <w:semiHidden/>
    <w:unhideWhenUsed/>
    <w:rsid w:val="00D71078"/>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D71078"/>
    <w:rPr>
      <w:b/>
      <w:bCs/>
    </w:rPr>
  </w:style>
  <w:style w:type="character" w:styleId="a9">
    <w:name w:val="Hyperlink"/>
    <w:basedOn w:val="a0"/>
    <w:uiPriority w:val="99"/>
    <w:semiHidden/>
    <w:unhideWhenUsed/>
    <w:rsid w:val="00D7107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5782984">
      <w:bodyDiv w:val="1"/>
      <w:marLeft w:val="0"/>
      <w:marRight w:val="0"/>
      <w:marTop w:val="0"/>
      <w:marBottom w:val="0"/>
      <w:divBdr>
        <w:top w:val="none" w:sz="0" w:space="0" w:color="auto"/>
        <w:left w:val="none" w:sz="0" w:space="0" w:color="auto"/>
        <w:bottom w:val="none" w:sz="0" w:space="0" w:color="auto"/>
        <w:right w:val="none" w:sz="0" w:space="0" w:color="auto"/>
      </w:divBdr>
      <w:divsChild>
        <w:div w:id="894051877">
          <w:marLeft w:val="0"/>
          <w:marRight w:val="0"/>
          <w:marTop w:val="0"/>
          <w:marBottom w:val="0"/>
          <w:divBdr>
            <w:top w:val="single" w:sz="6" w:space="15" w:color="E3E3E3"/>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f.gov.cn/gkml/caizhengwengao/wg2015/wg201512/201604/t20160421_1959849.htm" TargetMode="External"/><Relationship Id="rId13" Type="http://schemas.openxmlformats.org/officeDocument/2006/relationships/hyperlink" Target="http://www.chinatax.gov.cn/chinatax/n362/c5159888/content.html" TargetMode="External"/><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chinatax.gov.cn/chinatax/n362/c218549/content.html" TargetMode="External"/><Relationship Id="rId12" Type="http://schemas.openxmlformats.org/officeDocument/2006/relationships/hyperlink" Target="http://www.gov.cn/zhengce/content/2020-08/04/content_5532370.htm"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mof.gov.cn/gkml/caizhengwengao/2012wg/wg201207/201210/t20121022_689114.htm" TargetMode="External"/><Relationship Id="rId11" Type="http://schemas.openxmlformats.org/officeDocument/2006/relationships/hyperlink" Target="http://www.chinatax.gov.cn/chinatax/n810341/n810765/n3359382/201805/c3627772/content.html" TargetMode="External"/><Relationship Id="rId5" Type="http://schemas.openxmlformats.org/officeDocument/2006/relationships/endnotes" Target="endnotes.xml"/><Relationship Id="rId15" Type="http://schemas.openxmlformats.org/officeDocument/2006/relationships/image" Target="media/image2.png"/><Relationship Id="rId10" Type="http://schemas.openxmlformats.org/officeDocument/2006/relationships/hyperlink" Target="http://szs.mof.gov.cn/zhengcefabu/201605/t20160506_1979592.htm" TargetMode="External"/><Relationship Id="rId19"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hyperlink" Target="http://szs.mof.gov.cn/zhengcefabu/201809/t20180921_3025179.htm" TargetMode="Externa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908</Words>
  <Characters>5180</Characters>
  <Application>Microsoft Office Word</Application>
  <DocSecurity>0</DocSecurity>
  <Lines>43</Lines>
  <Paragraphs>12</Paragraphs>
  <ScaleCrop>false</ScaleCrop>
  <Company/>
  <LinksUpToDate>false</LinksUpToDate>
  <CharactersWithSpaces>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LX</dc:creator>
  <cp:keywords/>
  <dc:description/>
  <cp:lastModifiedBy>LX</cp:lastModifiedBy>
  <cp:revision>2</cp:revision>
  <dcterms:created xsi:type="dcterms:W3CDTF">2021-02-08T09:17:00Z</dcterms:created>
  <dcterms:modified xsi:type="dcterms:W3CDTF">2021-02-08T09:17:00Z</dcterms:modified>
</cp:coreProperties>
</file>