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bCs/>
          <w:i w:val="0"/>
          <w:iCs w:val="0"/>
          <w:color w:val="515151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515151"/>
          <w:sz w:val="36"/>
          <w:szCs w:val="36"/>
          <w:bdr w:val="none" w:color="auto" w:sz="0" w:space="0"/>
        </w:rPr>
        <w:t>关于印发《衡阳市专精特新“小巨人”企业 培育计划实施方案（2021-2025年）》的通知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center"/>
        <w:rPr>
          <w:rFonts w:ascii="微软雅黑" w:hAnsi="微软雅黑" w:eastAsia="微软雅黑" w:cs="微软雅黑"/>
          <w:color w:val="383838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发布日期：2021-04-27    来源：中小企业科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00" w:lineRule="atLeast"/>
        <w:ind w:left="0" w:right="0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各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县市区工信部门、市直园区产业发展部门：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为进一步推动全市中小企业走专精特新发展道路，经研究，制定了《衡阳市专精特新“小巨人”企业培育计划实施方案（2021-2025年）》，现印发给你们，请认真组织实施。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00" w:lineRule="atLeast"/>
        <w:ind w:left="0" w:right="0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附：《衡阳市专精特新“小巨人”企业培育计划实施方案（2021-2025年）》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00" w:lineRule="atLeast"/>
        <w:ind w:left="0" w:right="0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00" w:lineRule="atLeast"/>
        <w:ind w:left="0" w:right="0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                 　　          2021年4月27日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/>
        <w:jc w:val="center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515151"/>
          <w:sz w:val="43"/>
          <w:szCs w:val="4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/>
        <w:jc w:val="center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kern w:val="0"/>
          <w:sz w:val="43"/>
          <w:szCs w:val="43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/>
        <w:jc w:val="both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仿宋" w:hAnsi="仿宋" w:eastAsia="仿宋" w:cs="仿宋"/>
          <w:color w:val="515151"/>
          <w:sz w:val="31"/>
          <w:szCs w:val="31"/>
          <w:bdr w:val="none" w:color="auto" w:sz="0" w:space="0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/>
        <w:jc w:val="center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color w:val="515151"/>
          <w:sz w:val="43"/>
          <w:szCs w:val="43"/>
          <w:bdr w:val="none" w:color="auto" w:sz="0" w:space="0"/>
        </w:rPr>
        <w:t>衡阳市专精特新“小巨人”企业培育计划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/>
        <w:jc w:val="center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color w:val="515151"/>
          <w:sz w:val="43"/>
          <w:szCs w:val="43"/>
          <w:bdr w:val="none" w:color="auto" w:sz="0" w:space="0"/>
        </w:rPr>
        <w:t>实施方案（2021-2025年）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为贯彻中共中央办公厅、国务院办公厅《关于促进中小企业健康发展的指导意见》（中办发【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2019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】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24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号）以及工业和信息化部等十七部门《关于健全支持中小企业发展制度的若干意见》（工信部联企【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2020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】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108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号）等文件精神，实施“三高四新”战略，推进“一体两翼”建设，引导中小企业走专精特新发展道路，按照《湖南省专精特新“小巨人”企业培育计划（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2021-2025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）》（湘工信中小发展【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2021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】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27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号）要求，结合衡阳实际，特制定本方案。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黑体" w:hAnsi="宋体" w:eastAsia="黑体" w:cs="黑体"/>
          <w:color w:val="515151"/>
          <w:sz w:val="31"/>
          <w:szCs w:val="31"/>
          <w:bdr w:val="none" w:color="auto" w:sz="0" w:space="0"/>
        </w:rPr>
        <w:t>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以习近平新时代中国特色社会主义思想为指导，深入贯彻习近平总书记在中央财经委员会第五次会议上关于“培育一批‘专精特新’中小企业”的重要指示精神，落实省委、省政府主要领导在衡阳调研时“梯度培育小巨人”讲话要求，着力打造一批专注于细分市场、创新能力强、质量效益优、市场占有率高、掌握关键核心技术的专精特新“小巨人”企业，打好产业基础高级化、产业链现代化的攻坚战，助推现代产业强市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color w:val="515151"/>
          <w:sz w:val="31"/>
          <w:szCs w:val="31"/>
          <w:bdr w:val="none" w:color="auto" w:sz="0" w:space="0"/>
        </w:rPr>
        <w:t>二、培育目标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到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2025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年，全市每年重点培育市级专精特新“小巨人”企业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50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家左右，梯度培育一批市级专精特新“小巨人”企业成长为省级、国家级专精特新“小巨人”企业，助推一批优质的专精特新中小企业在技术创新、市场开拓、上市培育、数字化转型、智能化改造等方面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color w:val="515151"/>
          <w:sz w:val="31"/>
          <w:szCs w:val="31"/>
          <w:bdr w:val="none" w:color="auto" w:sz="0" w:space="0"/>
        </w:rPr>
        <w:t>三、培育重点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重点面向制造业中小企业，聚焦战略性新兴产业、工业“四基”创新、“新基建”、重点优势产业链等领域的优质中小企业。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color w:val="515151"/>
          <w:sz w:val="31"/>
          <w:szCs w:val="31"/>
          <w:bdr w:val="none" w:color="auto" w:sz="0" w:space="0"/>
        </w:rPr>
        <w:t>四、培育条件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列入衡阳市专精特新“小巨人”企业培育计划的企业，应符合以下条件：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515151"/>
          <w:sz w:val="31"/>
          <w:szCs w:val="31"/>
          <w:bdr w:val="none" w:color="auto" w:sz="0" w:space="0"/>
        </w:rPr>
        <w:t>(</w:t>
      </w: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一）基本条件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、在衡阳市范围内注册并具有独立法人资格、经营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年以上，符合工业和信息化部等四部委《关于印发中小企业划型标准规定的通知》（工信部联企业【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2011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】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300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号）规定的</w:t>
      </w:r>
      <w:r>
        <w:rPr>
          <w:rFonts w:hint="eastAsia" w:ascii="仿宋" w:hAnsi="仿宋" w:eastAsia="仿宋" w:cs="仿宋"/>
          <w:b w:val="0"/>
          <w:bCs w:val="0"/>
          <w:color w:val="515151"/>
          <w:sz w:val="31"/>
          <w:szCs w:val="31"/>
          <w:bdr w:val="none" w:color="auto" w:sz="0" w:space="0"/>
        </w:rPr>
        <w:t>中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小企业。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、制造业企业上年度主营业务收入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2000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万元以上，近两年主营业务收入年均增长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10%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以上，软件和信息技术服务业企业上年度主营业务收入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1000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万元以上，近两年主营业务收入年均增长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15%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以上。企业资产负债率不高于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70%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、企业深耕于细分市场，主导产品在细分市场占有率排名靠前，或是主要产品为国内外知名企业直接配套，并成为其主要供应商。主营业务收入占营业收入的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60%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4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、企业具有持续创新能力，拥有主要产品相关的有效发明专利（含集成电路布图设计专有权）</w:t>
      </w: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项或实用新型专利、外观设计专利、软件著作权</w:t>
      </w: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项及以上，近</w:t>
      </w: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年总研发投入经费不低于主营业务收入比例不低于</w:t>
      </w: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3%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、企业拥有自主品牌（含非物质文化遗产、地理标志商标等），产品品质在业内得到公认，并取得相关认证。企业管理制度完善，运用新一代信息技术进行数字化、网络化、智能化升级。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6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、企业近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年未发生安全、质量、环境污染重大事故，无其他重大违法违规、严重失信行为。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（二）优先条件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同等条件下，符合下列条件之一的企业优先入选：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、属于衡阳市重点优势产业链的骨干企业。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15151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b w:val="0"/>
          <w:bCs w:val="0"/>
          <w:color w:val="515151"/>
          <w:sz w:val="31"/>
          <w:szCs w:val="31"/>
          <w:bdr w:val="none" w:color="auto" w:sz="0" w:space="0"/>
        </w:rPr>
        <w:t>、深度“上云上平台”，在研发设计、生产制造、经营管理、营销及服务等</w:t>
      </w:r>
      <w:r>
        <w:rPr>
          <w:rFonts w:hint="default" w:ascii="Times New Roman" w:hAnsi="Times New Roman" w:eastAsia="仿宋" w:cs="Times New Roman"/>
          <w:b w:val="0"/>
          <w:bCs w:val="0"/>
          <w:color w:val="515151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b w:val="0"/>
          <w:bCs w:val="0"/>
          <w:color w:val="515151"/>
          <w:sz w:val="31"/>
          <w:szCs w:val="31"/>
          <w:bdr w:val="none" w:color="auto" w:sz="0" w:space="0"/>
        </w:rPr>
        <w:t>项核心业务运用信息系统，并取得良好成效的企业。（基本条件）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、具有良好上市前景，列入市级及以上上市后备企业库的企业。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4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、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对应基本条件第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4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、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项内容获得市级及以上荣誉称号的企业。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color w:val="515151"/>
          <w:sz w:val="31"/>
          <w:szCs w:val="31"/>
          <w:bdr w:val="none" w:color="auto" w:sz="0" w:space="0"/>
        </w:rPr>
        <w:t>五、培育措施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（一）实施专精特新“小巨人”企业培育计划。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建立市级专精特新“小巨人”企业培育认定机制，制定入选标准，市工信局每年下发申报通知，经企业自主申报、县市区（市直园区）审核推荐、专家评审，公示后发文认定。对市级专精特新“小巨人”企业实行动态管理，有效期</w:t>
      </w: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年。定期开展监测分析</w:t>
      </w:r>
      <w:r>
        <w:rPr>
          <w:rFonts w:hint="default" w:ascii="Times New Roman" w:hAnsi="Times New Roman" w:eastAsia="仿宋_GB2312" w:cs="Times New Roman"/>
          <w:color w:val="515151"/>
          <w:sz w:val="31"/>
          <w:szCs w:val="31"/>
          <w:bdr w:val="none" w:color="auto" w:sz="0" w:space="0"/>
        </w:rPr>
        <w:t>,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从政策、要素、服务等方面给予支持，筛选一批优质企业，积极争创国家级、省级专精特新“小巨人”企业。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（二）提高专精特新“小巨人”企业创新能力。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鼓励专精特新“小巨人”企业加大研发投入力度，以开展产学研对接活动为抓手，加强与大专院校、科研机构的联系合作，依托核心服务机构，着力为“专精特新”企业提供技术成果对接服务。鼓励企业</w:t>
      </w:r>
      <w:r>
        <w:rPr>
          <w:rFonts w:hint="default" w:ascii="仿宋_GB2312" w:hAnsi="Times New Roman" w:eastAsia="仿宋_GB2312" w:cs="仿宋_GB2312"/>
          <w:color w:val="000000"/>
          <w:sz w:val="31"/>
          <w:szCs w:val="31"/>
          <w:bdr w:val="none" w:color="auto" w:sz="0" w:space="0"/>
        </w:rPr>
        <w:t>应用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bdr w:val="none" w:color="auto" w:sz="0" w:space="0"/>
        </w:rPr>
        <w:t>工业</w:t>
      </w:r>
      <w:r>
        <w:rPr>
          <w:rFonts w:hint="default" w:ascii="仿宋_GB2312" w:hAnsi="Times New Roman" w:eastAsia="仿宋_GB2312" w:cs="仿宋_GB2312"/>
          <w:color w:val="000000"/>
          <w:sz w:val="31"/>
          <w:szCs w:val="31"/>
          <w:bdr w:val="none" w:color="auto" w:sz="0" w:space="0"/>
        </w:rPr>
        <w:t>互联网、云计算、大数据、人工智能等现代技术手段，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bdr w:val="none" w:color="auto" w:sz="0" w:space="0"/>
        </w:rPr>
        <w:t>深度</w:t>
      </w:r>
      <w:r>
        <w:rPr>
          <w:rFonts w:hint="default" w:ascii="Times New Roman" w:hAnsi="Times New Roman" w:eastAsia="微软雅黑" w:cs="Times New Roman"/>
          <w:color w:val="000000"/>
          <w:sz w:val="31"/>
          <w:szCs w:val="31"/>
          <w:bdr w:val="none" w:color="auto" w:sz="0" w:space="0"/>
        </w:rPr>
        <w:t>“</w:t>
      </w:r>
      <w:r>
        <w:rPr>
          <w:rFonts w:hint="default" w:ascii="仿宋_GB2312" w:hAnsi="Times New Roman" w:eastAsia="仿宋_GB2312" w:cs="仿宋_GB2312"/>
          <w:color w:val="000000"/>
          <w:sz w:val="31"/>
          <w:szCs w:val="31"/>
          <w:bdr w:val="none" w:color="auto" w:sz="0" w:space="0"/>
        </w:rPr>
        <w:t>上云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bdr w:val="none" w:color="auto" w:sz="0" w:space="0"/>
        </w:rPr>
        <w:t>上平台</w:t>
      </w:r>
      <w:r>
        <w:rPr>
          <w:rFonts w:hint="default" w:ascii="Times New Roman" w:hAnsi="Times New Roman" w:eastAsia="微软雅黑" w:cs="Times New Roman"/>
          <w:color w:val="000000"/>
          <w:sz w:val="31"/>
          <w:szCs w:val="31"/>
          <w:bdr w:val="none" w:color="auto" w:sz="0" w:space="0"/>
        </w:rPr>
        <w:t>”</w:t>
      </w:r>
      <w:r>
        <w:rPr>
          <w:rFonts w:hint="default" w:ascii="仿宋_GB2312" w:hAnsi="Times New Roman" w:eastAsia="仿宋_GB2312" w:cs="仿宋_GB2312"/>
          <w:color w:val="000000"/>
          <w:sz w:val="31"/>
          <w:szCs w:val="31"/>
          <w:bdr w:val="none" w:color="auto" w:sz="0" w:space="0"/>
        </w:rPr>
        <w:t>，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bdr w:val="none" w:color="auto" w:sz="0" w:space="0"/>
        </w:rPr>
        <w:t>加快数字化、网络化、智能化步伐，</w:t>
      </w:r>
      <w:r>
        <w:rPr>
          <w:rFonts w:hint="default" w:ascii="仿宋_GB2312" w:hAnsi="Times New Roman" w:eastAsia="仿宋_GB2312" w:cs="仿宋_GB2312"/>
          <w:color w:val="000000"/>
          <w:sz w:val="31"/>
          <w:szCs w:val="31"/>
          <w:bdr w:val="none" w:color="auto" w:sz="0" w:space="0"/>
        </w:rPr>
        <w:t>提高生产经营效率和管理水平。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（三）加强专精特新“小巨人”企业融资支持。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优先推荐专精特新“小巨人”企业纳入全省制造业产融合作“白名单”，支持企业运用省中小企业融资服务平台等，降低企业融资成本。积极推动专精特新“小巨人”融资对接，联合相关部门，宣传推广融资产品，开展“专精特新”企业专场融资对接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（四）提升专精特新“小巨人”企业服务水平。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大力开展政策咨询、管理诊断、人才培训等各类服务活动，为“专精特新”企业提供质优价廉的普惠服务。组织专精特新“小巨人”企业发展交流会，选择一批创业型、实干型企业家，开展专题论坛、参观交流等活动，为专精特新“小巨人”企业家搭建一个政企沟通、产业协作、学习交流的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（五）推动专精特新“小巨人”企业对外合作与交流。</w:t>
      </w:r>
      <w:r>
        <w:rPr>
          <w:rFonts w:hint="default" w:ascii="仿宋_GB2312" w:hAnsi="微软雅黑" w:eastAsia="仿宋_GB2312" w:cs="仿宋_GB2312"/>
          <w:color w:val="515151"/>
          <w:sz w:val="31"/>
          <w:szCs w:val="31"/>
          <w:bdr w:val="none" w:color="auto" w:sz="0" w:space="0"/>
        </w:rPr>
        <w:t>鼓励企业抓住“一带一路”发展战略，加快“走出去”和“引进来”步伐，充分利用国内国际两个市场、两种资源，增强竞争力和影响力。引导企业提升品牌能力，培育一批“记得住、叫得响、走得出”的“湖湘精品”品牌，鼓励企业参加“创客中国”中小微企业创新创业大赛以及中博会等国内外重要专业性展会，推进专精特新企业与大中型企业配套合作项目，形成专业化协作配套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color w:val="515151"/>
          <w:sz w:val="31"/>
          <w:szCs w:val="31"/>
          <w:bdr w:val="none" w:color="auto" w:sz="0" w:space="0"/>
        </w:rPr>
        <w:t>六、培育要求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(一）加强组织领导。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各县市区、市直园区要明确培育目标和措施。各县市区、市直园区要培育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家以上国家级专精特新“小巨人”企业、</w:t>
      </w:r>
      <w:r>
        <w:rPr>
          <w:rFonts w:hint="default" w:ascii="Times New Roman" w:hAnsi="Times New Roman" w:eastAsia="仿宋" w:cs="Times New Roman"/>
          <w:color w:val="515151"/>
          <w:sz w:val="31"/>
          <w:szCs w:val="31"/>
          <w:bdr w:val="none" w:color="auto" w:sz="0" w:space="0"/>
        </w:rPr>
        <w:t>10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家以上省级专精特新“小巨人”企业、一批市级专精特新“小巨人”企业，形成市县联动、合力推进专精特新“小巨人”企业培育工作。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（二）优化培育环境。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各县市区、市直园区要优化专精特新“小巨人”企业培育环境和要素保障，在土地供应、融资保障、人才支撑、财政支持等方面扶持专精特新“小巨人”企业，加强服务指导，每年要积极组织专精特新“小巨人”企业参加国、省、市各项活动及培训等，促进专精特新“小巨人”健康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楷体" w:hAnsi="楷体" w:eastAsia="楷体" w:cs="楷体"/>
          <w:color w:val="515151"/>
          <w:sz w:val="31"/>
          <w:szCs w:val="31"/>
          <w:bdr w:val="none" w:color="auto" w:sz="0" w:space="0"/>
        </w:rPr>
        <w:t>(三）加强宣传引导。</w:t>
      </w:r>
      <w:r>
        <w:rPr>
          <w:rFonts w:hint="eastAsia" w:ascii="仿宋" w:hAnsi="仿宋" w:eastAsia="仿宋" w:cs="仿宋"/>
          <w:color w:val="515151"/>
          <w:sz w:val="31"/>
          <w:szCs w:val="31"/>
          <w:bdr w:val="none" w:color="auto" w:sz="0" w:space="0"/>
        </w:rPr>
        <w:t>广泛宣传扶持专精特新“小巨人”企业的政策，遴选一批专精特新“小巨人”企业典型发展案例，充分利用新闻媒体、网站，推广好经验好做法，为全市中小企业专精特新发展树立标杆，以点带面，促进全市中小企业数量、质量双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2022-03-04T09:28:30Z</dcterms:created>
  <dc:creator>柳如是</dc:creator>
  <cp:lastModifiedBy>石志诚</cp:lastModifiedBy>
  <dcterms:modified xsi:type="dcterms:W3CDTF">2022-03-04T09:32:35Z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58AB82A29B13444F9E45D127424957CC</vt:lpwstr>
  </property>
</Properties>
</file>