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60343" w14:textId="77777777" w:rsidR="00223259" w:rsidRPr="00223259" w:rsidRDefault="00223259" w:rsidP="00223259">
      <w:pPr>
        <w:widowControl/>
        <w:shd w:val="clear" w:color="auto" w:fill="E9F3FD"/>
        <w:spacing w:before="100" w:beforeAutospacing="1" w:after="100" w:afterAutospacing="1" w:line="450" w:lineRule="atLeast"/>
        <w:jc w:val="center"/>
        <w:outlineLvl w:val="1"/>
        <w:rPr>
          <w:rFonts w:ascii="微软雅黑" w:eastAsia="微软雅黑" w:hAnsi="微软雅黑" w:cs="Arial"/>
          <w:color w:val="122E67"/>
          <w:kern w:val="36"/>
          <w:sz w:val="42"/>
          <w:szCs w:val="42"/>
        </w:rPr>
      </w:pPr>
      <w:r w:rsidRPr="00223259">
        <w:rPr>
          <w:rFonts w:ascii="微软雅黑" w:eastAsia="微软雅黑" w:hAnsi="微软雅黑" w:cs="Arial" w:hint="eastAsia"/>
          <w:color w:val="122E67"/>
          <w:kern w:val="36"/>
          <w:sz w:val="42"/>
          <w:szCs w:val="42"/>
        </w:rPr>
        <w:t>四川省科学技术厅关于开展2020年度省级科技企业孵化器备案工作的通知</w:t>
      </w:r>
    </w:p>
    <w:p w14:paraId="7BF7FA5A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jc w:val="left"/>
        <w:rPr>
          <w:rFonts w:ascii="Arial" w:eastAsia="宋体" w:hAnsi="Arial" w:cs="Arial" w:hint="eastAsia"/>
          <w:color w:val="122E67"/>
          <w:kern w:val="0"/>
          <w:szCs w:val="21"/>
        </w:rPr>
      </w:pP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各市（州）、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扩权强</w:t>
      </w:r>
      <w:proofErr w:type="gramEnd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县科技主管部门：</w:t>
      </w:r>
    </w:p>
    <w:p w14:paraId="734C46CD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为引导我省科技企业孵化器高质量发展，支持科技型中小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微企业</w:t>
      </w:r>
      <w:proofErr w:type="gramEnd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快速成长，构建良好的科技创业生态，推动大众创业万众创新上水平，现组织开展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2020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年度省级科技企业孵化器的备案工作。现将有关事项通知如下：</w:t>
      </w:r>
    </w:p>
    <w:p w14:paraId="50452D45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一、申报要求</w:t>
      </w:r>
    </w:p>
    <w:p w14:paraId="08E68138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各市（州）和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扩权强</w:t>
      </w:r>
      <w:proofErr w:type="gramEnd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县科技主管部门根据《四川省科技企业孵化器备案办法》（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川科高〔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2016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proofErr w:type="gramEnd"/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18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号）的要求，积极组织辖区内的科技企业孵化器开展备案申报工作，并对各孵化器的申报材料进行审核。审核通过后，由科技主管部门出具推荐函，统一寄送至省生产力促进中心。</w:t>
      </w:r>
    </w:p>
    <w:p w14:paraId="0DF7E9F5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二、时间安排</w:t>
      </w:r>
    </w:p>
    <w:p w14:paraId="7AD720B6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2020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5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—6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12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日，受理申报材料。本年度只开展一次备案，请各市（州）和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扩权强</w:t>
      </w:r>
      <w:proofErr w:type="gramEnd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县科技主管部门安排好时间和工作进度，过时不再受理申报。</w:t>
      </w:r>
    </w:p>
    <w:p w14:paraId="2A0ED59D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2020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6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15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—7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31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日，组织专家评审、现场考察。</w:t>
      </w:r>
    </w:p>
    <w:p w14:paraId="1625A64E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>2020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8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—9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30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日，审议、公示、公布备案名单。</w:t>
      </w:r>
    </w:p>
    <w:p w14:paraId="3D69AFA4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三、材料要求</w:t>
      </w:r>
    </w:p>
    <w:p w14:paraId="1A83EDFD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（一）孵化器介绍。</w:t>
      </w:r>
    </w:p>
    <w:p w14:paraId="524DBA5B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1.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科技企业孵化器基本信息表（附件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）；</w:t>
      </w:r>
    </w:p>
    <w:p w14:paraId="0AF31EC9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2.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孵化器概述；对照省级科技企业孵化器条件的建设情况；孵化器的运行机制和服务模式介绍，以及孵化器（包括有合作的中介服务机构）为在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孵企业</w:t>
      </w:r>
      <w:proofErr w:type="gramEnd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提供的服务内容介绍；</w:t>
      </w:r>
    </w:p>
    <w:p w14:paraId="2BF0C3D0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3.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孵化器的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1—2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个成功孵化案例（重点介绍孵化器通过什么服务帮助企业解决了什么问题）；</w:t>
      </w:r>
    </w:p>
    <w:p w14:paraId="4E94BE48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4.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在孵企业、毕业企业情况汇总表（附件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、附件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）。</w:t>
      </w:r>
    </w:p>
    <w:p w14:paraId="3B54A114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（二）证明材料。</w:t>
      </w:r>
    </w:p>
    <w:p w14:paraId="38B45CB3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1.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孵化器的法人代码证书（或营业执照）复印件；</w:t>
      </w:r>
    </w:p>
    <w:p w14:paraId="7A551019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2.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孵化器孵化场地的产权证明（或委托、租赁合同）复印件；</w:t>
      </w:r>
    </w:p>
    <w:p w14:paraId="2C577D74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3.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孵化器管理人员的学历证书复印件；</w:t>
      </w:r>
    </w:p>
    <w:p w14:paraId="3374940C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4.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接受孵化器专业人员培训的培训证明材料复印件；</w:t>
      </w:r>
    </w:p>
    <w:p w14:paraId="1A606016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 xml:space="preserve">5.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拥有种子资金或孵化资金的相关证明材料复印件（如：存款证明、设立孵化资金的文件、孵化资金使用规范文件等），并提供资金使用的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1—2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个案例证明（如：投资证明文件等）；</w:t>
      </w:r>
    </w:p>
    <w:p w14:paraId="7E52E9A8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6.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如申报专业孵化器，应具备专业化的技术咨询和管理培训能力，并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附专业</w:t>
      </w:r>
      <w:proofErr w:type="gramEnd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技术服务平台设备清单及用途；</w:t>
      </w:r>
    </w:p>
    <w:p w14:paraId="4DDABEAD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7.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孵化器与合作中介服务机构（包括法律事务所、会计事务所、咨询机构和风险投资机构等金融机构）签署的为在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孵企业</w:t>
      </w:r>
      <w:proofErr w:type="gramEnd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服务的合作协议复印件；</w:t>
      </w:r>
    </w:p>
    <w:p w14:paraId="5BD1DB5F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8.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孵化器运营单位机构设置与职能的相关文件复印件；</w:t>
      </w:r>
    </w:p>
    <w:p w14:paraId="1CD9B444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9.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企业入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孵条件</w:t>
      </w:r>
      <w:proofErr w:type="gramEnd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及企业毕业条件的相关文件复印件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;</w:t>
      </w:r>
    </w:p>
    <w:p w14:paraId="66E545A1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10.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所有在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孵企业</w:t>
      </w:r>
      <w:proofErr w:type="gramEnd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的营业执照复印件（复印件要求加盖在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孵企业</w:t>
      </w:r>
      <w:proofErr w:type="gramEnd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公章）；</w:t>
      </w:r>
    </w:p>
    <w:p w14:paraId="04AD22C9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11.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所有在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孵企业</w:t>
      </w:r>
      <w:proofErr w:type="gramEnd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与孵化器签署的孵化服务协议或入驻协议复印件；</w:t>
      </w:r>
    </w:p>
    <w:p w14:paraId="011C1EB6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12.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毕业企业证明材料。</w:t>
      </w:r>
    </w:p>
    <w:p w14:paraId="2ED2ED9B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（三）装订要求。</w:t>
      </w:r>
    </w:p>
    <w:p w14:paraId="6CF223B5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1.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申报材料请双面打印（复印），注明书脊，一式一份。</w:t>
      </w:r>
    </w:p>
    <w:p w14:paraId="2050B846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 xml:space="preserve">2.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电子版材料需刻录在注明孵化器名称的光盘中，随纸质申报书一同报送。</w:t>
      </w:r>
    </w:p>
    <w:p w14:paraId="53BA2BAC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四、注意事项</w:t>
      </w:r>
    </w:p>
    <w:p w14:paraId="282A41F3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1.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申请省级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众创空间</w:t>
      </w:r>
      <w:proofErr w:type="gramEnd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备案的孵化载体不能再申请省级科技企业孵化器备案。</w:t>
      </w:r>
    </w:p>
    <w:p w14:paraId="7830C04B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2. </w:t>
      </w:r>
      <w:r w:rsidRPr="0022325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科技主管部门应单独出具推荐材料，勿装订在申报材料中，并将推荐表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(</w:t>
      </w:r>
      <w:r w:rsidRPr="0022325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附件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1)</w:t>
      </w:r>
      <w:r w:rsidRPr="0022325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电子版发送至指定邮箱。</w:t>
      </w:r>
    </w:p>
    <w:p w14:paraId="014E0638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五、材料邮寄地址及联系方式</w:t>
      </w:r>
    </w:p>
    <w:p w14:paraId="29514752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64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邮寄地址：</w:t>
      </w:r>
      <w:r w:rsidRPr="0022325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成都市高新区天府五街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200</w:t>
      </w:r>
      <w:r w:rsidRPr="0022325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号</w:t>
      </w:r>
      <w:proofErr w:type="gramStart"/>
      <w:r w:rsidRPr="0022325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菁蓉国际</w:t>
      </w:r>
      <w:proofErr w:type="gramEnd"/>
      <w:r w:rsidRPr="0022325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广场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7</w:t>
      </w:r>
      <w:r w:rsidRPr="0022325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栋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704B</w:t>
      </w:r>
    </w:p>
    <w:p w14:paraId="2E29D861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邮 编：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610041</w:t>
      </w:r>
    </w:p>
    <w:p w14:paraId="165EBA13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邮 箱：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jds501@163.com</w:t>
      </w:r>
    </w:p>
    <w:p w14:paraId="4B1528E8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联系人：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四川省生产力促进中心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蒋德书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金攀静</w:t>
      </w:r>
      <w:proofErr w:type="gramEnd"/>
    </w:p>
    <w:p w14:paraId="05CF1EBE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电 话：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028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—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68107839</w:t>
      </w:r>
    </w:p>
    <w:p w14:paraId="75DB21B5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联系人：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四川省科技厅高新处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吴帆</w:t>
      </w:r>
      <w:proofErr w:type="gramEnd"/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谢光红</w:t>
      </w:r>
    </w:p>
    <w:p w14:paraId="72A90FEA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电 话：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028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—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86719029 86710386</w:t>
      </w:r>
    </w:p>
    <w:p w14:paraId="5AD48B41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firstLine="72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>1. 2020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年度省级科技企业孵化器申报推荐表</w:t>
      </w:r>
    </w:p>
    <w:p w14:paraId="26EF1136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left="1600" w:firstLineChars="50" w:firstLine="16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2.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科技企业孵化器基本信息表</w:t>
      </w:r>
    </w:p>
    <w:p w14:paraId="3C73FADE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left="1600" w:firstLineChars="50" w:firstLine="16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t xml:space="preserve">3.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</w:t>
      </w:r>
      <w:proofErr w:type="gramStart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孵企业</w:t>
      </w:r>
      <w:proofErr w:type="gramEnd"/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情况汇总表</w:t>
      </w:r>
    </w:p>
    <w:p w14:paraId="486BDD9B" w14:textId="77777777" w:rsidR="00223259" w:rsidRPr="00223259" w:rsidRDefault="00223259" w:rsidP="00223259">
      <w:pPr>
        <w:widowControl/>
        <w:shd w:val="clear" w:color="auto" w:fill="E9F3FD"/>
        <w:spacing w:after="200" w:line="560" w:lineRule="exact"/>
        <w:ind w:left="1600" w:firstLineChars="50" w:firstLine="160"/>
        <w:jc w:val="left"/>
        <w:rPr>
          <w:rFonts w:ascii="Arial" w:eastAsia="宋体" w:hAnsi="Arial" w:cs="Arial"/>
          <w:color w:val="122E67"/>
          <w:kern w:val="0"/>
          <w:szCs w:val="21"/>
        </w:rPr>
      </w:pPr>
      <w:r w:rsidRPr="00223259">
        <w:rPr>
          <w:rFonts w:ascii="仿宋_GB2312" w:eastAsia="仿宋_GB2312" w:hAnsi="Times New Roman" w:cs="Times New Roman" w:hint="eastAsia"/>
          <w:color w:val="000000"/>
          <w:kern w:val="0"/>
          <w:sz w:val="32"/>
          <w:szCs w:val="32"/>
        </w:rPr>
        <w:lastRenderedPageBreak/>
        <w:t xml:space="preserve">4. </w:t>
      </w:r>
      <w:r w:rsidRPr="002232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毕业企业情况汇总表</w:t>
      </w:r>
    </w:p>
    <w:p w14:paraId="6C9D545E" w14:textId="77777777" w:rsidR="00C06C60" w:rsidRPr="00223259" w:rsidRDefault="00C06C60"/>
    <w:sectPr w:rsidR="00C06C60" w:rsidRPr="002232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44821" w14:textId="77777777" w:rsidR="00B4183F" w:rsidRDefault="00B4183F" w:rsidP="00223259">
      <w:r>
        <w:separator/>
      </w:r>
    </w:p>
  </w:endnote>
  <w:endnote w:type="continuationSeparator" w:id="0">
    <w:p w14:paraId="4257BC69" w14:textId="77777777" w:rsidR="00B4183F" w:rsidRDefault="00B4183F" w:rsidP="0022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37210" w14:textId="77777777" w:rsidR="00B4183F" w:rsidRDefault="00B4183F" w:rsidP="00223259">
      <w:r>
        <w:separator/>
      </w:r>
    </w:p>
  </w:footnote>
  <w:footnote w:type="continuationSeparator" w:id="0">
    <w:p w14:paraId="6FCB225F" w14:textId="77777777" w:rsidR="00B4183F" w:rsidRDefault="00B4183F" w:rsidP="00223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86"/>
    <w:rsid w:val="00223259"/>
    <w:rsid w:val="00B4183F"/>
    <w:rsid w:val="00B91286"/>
    <w:rsid w:val="00C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8F5496-794E-469B-983E-2B0A0C98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2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8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54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6549">
                  <w:marLeft w:val="0"/>
                  <w:marRight w:val="0"/>
                  <w:marTop w:val="150"/>
                  <w:marBottom w:val="0"/>
                  <w:divBdr>
                    <w:top w:val="single" w:sz="6" w:space="4" w:color="BAD5F2"/>
                    <w:left w:val="single" w:sz="6" w:space="4" w:color="BAD5F2"/>
                    <w:bottom w:val="single" w:sz="6" w:space="4" w:color="BAD5F2"/>
                    <w:right w:val="single" w:sz="6" w:space="4" w:color="BAD5F2"/>
                  </w:divBdr>
                  <w:divsChild>
                    <w:div w:id="19256001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2020-06-19T14:54:00Z</dcterms:created>
  <dcterms:modified xsi:type="dcterms:W3CDTF">2020-06-19T14:54:00Z</dcterms:modified>
</cp:coreProperties>
</file>