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BE3" w:rsidRPr="00721BE3" w:rsidRDefault="00721BE3" w:rsidP="00721BE3">
      <w:pPr>
        <w:widowControl/>
        <w:shd w:val="clear" w:color="auto" w:fill="FFFFFF"/>
        <w:spacing w:line="510" w:lineRule="atLeast"/>
        <w:jc w:val="center"/>
        <w:rPr>
          <w:rFonts w:ascii="微软雅黑" w:eastAsia="微软雅黑" w:hAnsi="微软雅黑" w:cs="Helvetica"/>
          <w:b/>
          <w:bCs/>
          <w:color w:val="666666"/>
          <w:kern w:val="0"/>
          <w:sz w:val="36"/>
          <w:szCs w:val="36"/>
        </w:rPr>
      </w:pPr>
      <w:r w:rsidRPr="00721BE3">
        <w:rPr>
          <w:rFonts w:ascii="微软雅黑" w:eastAsia="微软雅黑" w:hAnsi="微软雅黑" w:cs="Helvetica" w:hint="eastAsia"/>
          <w:b/>
          <w:bCs/>
          <w:color w:val="666666"/>
          <w:kern w:val="0"/>
          <w:sz w:val="36"/>
          <w:szCs w:val="36"/>
        </w:rPr>
        <w:t>关于开展松江区2019年</w:t>
      </w:r>
      <w:bookmarkStart w:id="0" w:name="_GoBack"/>
      <w:bookmarkEnd w:id="0"/>
      <w:r w:rsidRPr="00721BE3">
        <w:rPr>
          <w:rFonts w:ascii="微软雅黑" w:eastAsia="微软雅黑" w:hAnsi="微软雅黑" w:cs="Helvetica" w:hint="eastAsia"/>
          <w:b/>
          <w:bCs/>
          <w:color w:val="666666"/>
          <w:kern w:val="0"/>
          <w:sz w:val="36"/>
          <w:szCs w:val="36"/>
        </w:rPr>
        <w:t>科技型中小企业技术创新资金项目申报工作的通知</w:t>
      </w:r>
    </w:p>
    <w:p w:rsidR="00721BE3" w:rsidRPr="00721BE3" w:rsidRDefault="00721BE3" w:rsidP="00721BE3">
      <w:pPr>
        <w:widowControl/>
        <w:shd w:val="clear" w:color="auto" w:fill="FFFFFF"/>
        <w:spacing w:line="300" w:lineRule="atLeast"/>
        <w:jc w:val="left"/>
        <w:rPr>
          <w:rFonts w:ascii="微软雅黑" w:eastAsia="微软雅黑" w:hAnsi="微软雅黑" w:cs="Helvetica" w:hint="eastAsia"/>
          <w:vanish/>
          <w:color w:val="333333"/>
          <w:kern w:val="0"/>
          <w:szCs w:val="21"/>
        </w:rPr>
      </w:pPr>
      <w:r w:rsidRPr="00721BE3">
        <w:rPr>
          <w:rFonts w:ascii="微软雅黑" w:eastAsia="微软雅黑" w:hAnsi="微软雅黑" w:cs="Helvetica" w:hint="eastAsia"/>
          <w:vanish/>
          <w:color w:val="333333"/>
          <w:kern w:val="0"/>
          <w:szCs w:val="21"/>
        </w:rPr>
        <w:t>关于开展松江区2019年科技型中小企业技术创新资金项目申报工作的通知</w:t>
      </w:r>
    </w:p>
    <w:p w:rsidR="00721BE3" w:rsidRPr="00721BE3" w:rsidRDefault="00721BE3" w:rsidP="00721BE3">
      <w:pPr>
        <w:widowControl/>
        <w:shd w:val="clear" w:color="auto" w:fill="FFFFFF"/>
        <w:spacing w:line="300" w:lineRule="atLeast"/>
        <w:jc w:val="left"/>
        <w:rPr>
          <w:rFonts w:ascii="Calibri" w:eastAsia="微软雅黑" w:hAnsi="Calibri" w:cs="Calibri" w:hint="eastAsia"/>
          <w:color w:val="333333"/>
          <w:kern w:val="0"/>
          <w:szCs w:val="21"/>
        </w:rPr>
      </w:pPr>
      <w:r w:rsidRPr="00721BE3">
        <w:rPr>
          <w:rFonts w:ascii="仿宋" w:eastAsia="仿宋" w:hAnsi="仿宋" w:cs="Calibri" w:hint="eastAsia"/>
          <w:color w:val="000000"/>
          <w:kern w:val="0"/>
          <w:szCs w:val="21"/>
        </w:rPr>
        <w:t xml:space="preserve">各有关企业： </w:t>
      </w:r>
    </w:p>
    <w:p w:rsidR="00721BE3" w:rsidRPr="00721BE3" w:rsidRDefault="00721BE3" w:rsidP="00721BE3">
      <w:pPr>
        <w:widowControl/>
        <w:shd w:val="clear" w:color="auto" w:fill="FFFFFF"/>
        <w:spacing w:line="300" w:lineRule="atLeast"/>
        <w:ind w:firstLine="600"/>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 xml:space="preserve">为聚力G60科创走廊建设，营造良好的创新创业生态，根据《松江区科技型中小企业技术创新资金管理办法》，拟开展松江区2019年科技型中小企业技术创新资金项目申报工作。现就相关事宜通知如下： </w:t>
      </w:r>
    </w:p>
    <w:p w:rsidR="00721BE3" w:rsidRPr="00721BE3" w:rsidRDefault="00721BE3" w:rsidP="00721BE3">
      <w:pPr>
        <w:widowControl/>
        <w:shd w:val="clear" w:color="auto" w:fill="FFFFFF"/>
        <w:spacing w:line="300" w:lineRule="atLeast"/>
        <w:ind w:firstLine="596"/>
        <w:jc w:val="left"/>
        <w:rPr>
          <w:rFonts w:ascii="Calibri" w:eastAsia="微软雅黑" w:hAnsi="Calibri" w:cs="Calibri"/>
          <w:color w:val="333333"/>
          <w:kern w:val="0"/>
          <w:szCs w:val="21"/>
        </w:rPr>
      </w:pPr>
      <w:r w:rsidRPr="00721BE3">
        <w:rPr>
          <w:rFonts w:ascii="仿宋" w:eastAsia="仿宋" w:hAnsi="仿宋" w:cs="Calibri" w:hint="eastAsia"/>
          <w:b/>
          <w:bCs/>
          <w:color w:val="000000"/>
          <w:kern w:val="0"/>
          <w:szCs w:val="21"/>
        </w:rPr>
        <w:t xml:space="preserve">一、支持重点 </w:t>
      </w:r>
    </w:p>
    <w:p w:rsidR="00721BE3" w:rsidRPr="00721BE3" w:rsidRDefault="00721BE3" w:rsidP="00721BE3">
      <w:pPr>
        <w:widowControl/>
        <w:shd w:val="clear" w:color="auto" w:fill="FFFFFF"/>
        <w:spacing w:line="300" w:lineRule="atLeast"/>
        <w:ind w:firstLine="600"/>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重点支持符合人工智能、集成电路、工业互联网、生物医药、先进制造、新材料、新能源与节能环保等领域的创新应用项目。</w:t>
      </w:r>
    </w:p>
    <w:p w:rsidR="00721BE3" w:rsidRPr="00721BE3" w:rsidRDefault="00721BE3" w:rsidP="00721BE3">
      <w:pPr>
        <w:widowControl/>
        <w:shd w:val="clear" w:color="auto" w:fill="FFFFFF"/>
        <w:spacing w:line="300" w:lineRule="atLeast"/>
        <w:ind w:firstLine="596"/>
        <w:jc w:val="left"/>
        <w:rPr>
          <w:rFonts w:ascii="Calibri" w:eastAsia="微软雅黑" w:hAnsi="Calibri" w:cs="Calibri"/>
          <w:color w:val="333333"/>
          <w:kern w:val="0"/>
          <w:szCs w:val="21"/>
        </w:rPr>
      </w:pPr>
      <w:r w:rsidRPr="00721BE3">
        <w:rPr>
          <w:rFonts w:ascii="仿宋" w:eastAsia="仿宋" w:hAnsi="仿宋" w:cs="Calibri" w:hint="eastAsia"/>
          <w:b/>
          <w:bCs/>
          <w:color w:val="000000"/>
          <w:kern w:val="0"/>
          <w:szCs w:val="21"/>
        </w:rPr>
        <w:t xml:space="preserve">二、申报条件 </w:t>
      </w:r>
    </w:p>
    <w:p w:rsidR="00721BE3" w:rsidRPr="00721BE3" w:rsidRDefault="00721BE3" w:rsidP="00721BE3">
      <w:pPr>
        <w:widowControl/>
        <w:shd w:val="clear" w:color="auto" w:fill="FFFFFF"/>
        <w:spacing w:line="300" w:lineRule="atLeast"/>
        <w:ind w:firstLine="594"/>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1、在本区范围内工商注册登记、具有独立法人资格，从事高新技术产品研发、制造、生产及服务等业务，无知识产权纠纷、无不良记录的非上市科技型中小企业；</w:t>
      </w:r>
    </w:p>
    <w:p w:rsidR="00721BE3" w:rsidRPr="00721BE3" w:rsidRDefault="00721BE3" w:rsidP="00721BE3">
      <w:pPr>
        <w:widowControl/>
        <w:shd w:val="clear" w:color="auto" w:fill="FFFFFF"/>
        <w:spacing w:line="300" w:lineRule="atLeast"/>
        <w:ind w:firstLine="600"/>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2、参加2019年G60科创走廊创新创业大赛，并进入决赛；</w:t>
      </w:r>
    </w:p>
    <w:p w:rsidR="00721BE3" w:rsidRPr="00721BE3" w:rsidRDefault="00721BE3" w:rsidP="00721BE3">
      <w:pPr>
        <w:widowControl/>
        <w:shd w:val="clear" w:color="auto" w:fill="FFFFFF"/>
        <w:spacing w:line="300" w:lineRule="atLeast"/>
        <w:ind w:firstLine="594"/>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3、获得2019年度科技型中小企业入库登记编号。暂未获得编号的企业需在2019年9月15日前登录“全国科技型中小企业评价工作系统”（网址：www.innofund.gov.cn），完成信息填报和自评；</w:t>
      </w:r>
    </w:p>
    <w:p w:rsidR="00721BE3" w:rsidRPr="00721BE3" w:rsidRDefault="00721BE3" w:rsidP="00721BE3">
      <w:pPr>
        <w:widowControl/>
        <w:shd w:val="clear" w:color="auto" w:fill="FFFFFF"/>
        <w:spacing w:line="300" w:lineRule="atLeast"/>
        <w:ind w:firstLine="600"/>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4、项目负责人应承诺所提交材料的真实性，并不含涉密内容。申报单位应对申请材料的真实性进行审核；</w:t>
      </w:r>
    </w:p>
    <w:p w:rsidR="00721BE3" w:rsidRPr="00721BE3" w:rsidRDefault="00721BE3" w:rsidP="00721BE3">
      <w:pPr>
        <w:widowControl/>
        <w:shd w:val="clear" w:color="auto" w:fill="FFFFFF"/>
        <w:spacing w:line="300" w:lineRule="atLeast"/>
        <w:ind w:firstLine="600"/>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5、获得上海市2019年科技型中小企业技术创新资金项目立项的企业，不得申报；2019年7月31日前未通过松江区科技型中小企业技术创新资金立项项目验收的企业，不得申报；</w:t>
      </w:r>
    </w:p>
    <w:p w:rsidR="00721BE3" w:rsidRPr="00721BE3" w:rsidRDefault="00721BE3" w:rsidP="00721BE3">
      <w:pPr>
        <w:widowControl/>
        <w:shd w:val="clear" w:color="auto" w:fill="FFFFFF"/>
        <w:spacing w:line="300" w:lineRule="atLeast"/>
        <w:ind w:firstLine="600"/>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6、申报项目原则上须为在建或拟建项目；同一项目已获其它政府财政资金支持的，不再重复支持；</w:t>
      </w:r>
    </w:p>
    <w:p w:rsidR="00721BE3" w:rsidRPr="00721BE3" w:rsidRDefault="00721BE3" w:rsidP="00721BE3">
      <w:pPr>
        <w:widowControl/>
        <w:shd w:val="clear" w:color="auto" w:fill="FFFFFF"/>
        <w:spacing w:line="300" w:lineRule="atLeast"/>
        <w:ind w:firstLine="600"/>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7、企业近五年内无重大违法和失信行为记录。</w:t>
      </w:r>
    </w:p>
    <w:p w:rsidR="00721BE3" w:rsidRPr="00721BE3" w:rsidRDefault="00721BE3" w:rsidP="00721BE3">
      <w:pPr>
        <w:widowControl/>
        <w:shd w:val="clear" w:color="auto" w:fill="FFFFFF"/>
        <w:spacing w:line="300" w:lineRule="atLeast"/>
        <w:ind w:firstLine="596"/>
        <w:jc w:val="left"/>
        <w:rPr>
          <w:rFonts w:ascii="Calibri" w:eastAsia="微软雅黑" w:hAnsi="Calibri" w:cs="Calibri"/>
          <w:color w:val="333333"/>
          <w:kern w:val="0"/>
          <w:szCs w:val="21"/>
        </w:rPr>
      </w:pPr>
      <w:r w:rsidRPr="00721BE3">
        <w:rPr>
          <w:rFonts w:ascii="仿宋" w:eastAsia="仿宋" w:hAnsi="仿宋" w:cs="Calibri" w:hint="eastAsia"/>
          <w:b/>
          <w:bCs/>
          <w:color w:val="000000"/>
          <w:kern w:val="0"/>
          <w:szCs w:val="21"/>
        </w:rPr>
        <w:t xml:space="preserve">三、支持标准 </w:t>
      </w:r>
    </w:p>
    <w:p w:rsidR="00721BE3" w:rsidRPr="00721BE3" w:rsidRDefault="00721BE3" w:rsidP="00721BE3">
      <w:pPr>
        <w:widowControl/>
        <w:shd w:val="clear" w:color="auto" w:fill="FFFFFF"/>
        <w:spacing w:line="300" w:lineRule="atLeast"/>
        <w:ind w:firstLine="600"/>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根据《松江区科技型中小企业技术创新资金管理办法》，给予立项项目不超过20万元的财政资金扶持。</w:t>
      </w:r>
    </w:p>
    <w:p w:rsidR="00721BE3" w:rsidRPr="00721BE3" w:rsidRDefault="00721BE3" w:rsidP="00721BE3">
      <w:pPr>
        <w:widowControl/>
        <w:shd w:val="clear" w:color="auto" w:fill="FFFFFF"/>
        <w:spacing w:line="300" w:lineRule="atLeast"/>
        <w:ind w:firstLine="596"/>
        <w:jc w:val="left"/>
        <w:rPr>
          <w:rFonts w:ascii="Calibri" w:eastAsia="微软雅黑" w:hAnsi="Calibri" w:cs="Calibri"/>
          <w:color w:val="333333"/>
          <w:kern w:val="0"/>
          <w:szCs w:val="21"/>
        </w:rPr>
      </w:pPr>
      <w:r w:rsidRPr="00721BE3">
        <w:rPr>
          <w:rFonts w:ascii="仿宋" w:eastAsia="仿宋" w:hAnsi="仿宋" w:cs="Calibri" w:hint="eastAsia"/>
          <w:b/>
          <w:bCs/>
          <w:color w:val="000000"/>
          <w:kern w:val="0"/>
          <w:szCs w:val="21"/>
        </w:rPr>
        <w:t>四、申报流程</w:t>
      </w:r>
    </w:p>
    <w:p w:rsidR="00721BE3" w:rsidRPr="00721BE3" w:rsidRDefault="00721BE3" w:rsidP="00721BE3">
      <w:pPr>
        <w:widowControl/>
        <w:shd w:val="clear" w:color="auto" w:fill="FFFFFF"/>
        <w:spacing w:line="300" w:lineRule="atLeast"/>
        <w:ind w:firstLine="600"/>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1、企业登录“松江区科技创新与产业发展专项资金项目申报平台”（http://xmpt.songjiang.gov.cn），在线填报《松江区科技型中小企业技术创新资金项目申请书》、《松江区产业专项扶持资金企业绩效目标承诺书》，并上传相关材料；</w:t>
      </w:r>
    </w:p>
    <w:p w:rsidR="00721BE3" w:rsidRPr="00721BE3" w:rsidRDefault="00721BE3" w:rsidP="00721BE3">
      <w:pPr>
        <w:widowControl/>
        <w:shd w:val="clear" w:color="auto" w:fill="FFFFFF"/>
        <w:spacing w:line="300" w:lineRule="atLeast"/>
        <w:ind w:firstLine="600"/>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2、企业注册地经济管理部门出具《松江区产业专项扶持资金镇（开发区、投促分中心）初审意见表》（申报平台首页可查询各经济管理部门联系电话）。</w:t>
      </w:r>
    </w:p>
    <w:p w:rsidR="00721BE3" w:rsidRPr="00721BE3" w:rsidRDefault="00721BE3" w:rsidP="00721BE3">
      <w:pPr>
        <w:widowControl/>
        <w:shd w:val="clear" w:color="auto" w:fill="FFFFFF"/>
        <w:spacing w:line="300" w:lineRule="atLeast"/>
        <w:ind w:firstLine="596"/>
        <w:jc w:val="left"/>
        <w:rPr>
          <w:rFonts w:ascii="Calibri" w:eastAsia="微软雅黑" w:hAnsi="Calibri" w:cs="Calibri"/>
          <w:color w:val="333333"/>
          <w:kern w:val="0"/>
          <w:szCs w:val="21"/>
        </w:rPr>
      </w:pPr>
      <w:r w:rsidRPr="00721BE3">
        <w:rPr>
          <w:rFonts w:ascii="仿宋" w:eastAsia="仿宋" w:hAnsi="仿宋" w:cs="Calibri" w:hint="eastAsia"/>
          <w:b/>
          <w:bCs/>
          <w:color w:val="000000"/>
          <w:kern w:val="0"/>
          <w:szCs w:val="21"/>
        </w:rPr>
        <w:t xml:space="preserve">五、申报材料 </w:t>
      </w:r>
    </w:p>
    <w:p w:rsidR="00721BE3" w:rsidRPr="00721BE3" w:rsidRDefault="00721BE3" w:rsidP="00721BE3">
      <w:pPr>
        <w:widowControl/>
        <w:shd w:val="clear" w:color="auto" w:fill="FFFFFF"/>
        <w:spacing w:line="300" w:lineRule="atLeast"/>
        <w:ind w:firstLine="594"/>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 xml:space="preserve">1、《松江区科技型中小企业技术创新资金项目申请书》、《松江区产业专项扶持资金企业绩效目标承诺书》； </w:t>
      </w:r>
    </w:p>
    <w:p w:rsidR="00721BE3" w:rsidRPr="00721BE3" w:rsidRDefault="00721BE3" w:rsidP="00721BE3">
      <w:pPr>
        <w:widowControl/>
        <w:shd w:val="clear" w:color="auto" w:fill="FFFFFF"/>
        <w:spacing w:line="300" w:lineRule="atLeast"/>
        <w:ind w:firstLine="600"/>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 xml:space="preserve">2、企业营业执照复印件； </w:t>
      </w:r>
    </w:p>
    <w:p w:rsidR="00721BE3" w:rsidRPr="00721BE3" w:rsidRDefault="00721BE3" w:rsidP="00721BE3">
      <w:pPr>
        <w:widowControl/>
        <w:shd w:val="clear" w:color="auto" w:fill="FFFFFF"/>
        <w:spacing w:line="300" w:lineRule="atLeast"/>
        <w:ind w:firstLine="600"/>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3、企业财务报表（上年度和申报前一个月的资产负债表、利润表、现金流量表）；</w:t>
      </w:r>
    </w:p>
    <w:p w:rsidR="00721BE3" w:rsidRPr="00721BE3" w:rsidRDefault="00721BE3" w:rsidP="00721BE3">
      <w:pPr>
        <w:widowControl/>
        <w:shd w:val="clear" w:color="auto" w:fill="FFFFFF"/>
        <w:spacing w:line="300" w:lineRule="atLeast"/>
        <w:ind w:firstLine="600"/>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4、企业税款所属期为2018年的税收完税证明；</w:t>
      </w:r>
    </w:p>
    <w:p w:rsidR="00721BE3" w:rsidRPr="00721BE3" w:rsidRDefault="00721BE3" w:rsidP="00721BE3">
      <w:pPr>
        <w:widowControl/>
        <w:shd w:val="clear" w:color="auto" w:fill="FFFFFF"/>
        <w:spacing w:line="300" w:lineRule="atLeast"/>
        <w:ind w:firstLine="600"/>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5、自主选择提供的材料有：企业资质、荣誉证书，研发合作单位协议等，相关知识产权证明材料，产品查新报告、产品检测报告、用户使用报告以及项目技术先进性的证明材料等；</w:t>
      </w:r>
    </w:p>
    <w:p w:rsidR="00721BE3" w:rsidRPr="00721BE3" w:rsidRDefault="00721BE3" w:rsidP="00721BE3">
      <w:pPr>
        <w:widowControl/>
        <w:shd w:val="clear" w:color="auto" w:fill="FFFFFF"/>
        <w:spacing w:line="300" w:lineRule="atLeast"/>
        <w:ind w:firstLine="600"/>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lastRenderedPageBreak/>
        <w:t>6、《松江区产业专项扶持资金镇（开发区、投促分中心）初审意见表》。</w:t>
      </w:r>
    </w:p>
    <w:p w:rsidR="00721BE3" w:rsidRPr="00721BE3" w:rsidRDefault="00721BE3" w:rsidP="00721BE3">
      <w:pPr>
        <w:widowControl/>
        <w:shd w:val="clear" w:color="auto" w:fill="FFFFFF"/>
        <w:spacing w:line="300" w:lineRule="atLeast"/>
        <w:ind w:firstLine="600"/>
        <w:jc w:val="left"/>
        <w:rPr>
          <w:rFonts w:ascii="Calibri" w:eastAsia="微软雅黑" w:hAnsi="Calibri" w:cs="Calibri"/>
          <w:color w:val="333333"/>
          <w:kern w:val="0"/>
          <w:szCs w:val="21"/>
        </w:rPr>
      </w:pPr>
      <w:r w:rsidRPr="00721BE3">
        <w:rPr>
          <w:rFonts w:ascii="黑体" w:eastAsia="黑体" w:hAnsi="黑体" w:cs="Calibri" w:hint="eastAsia"/>
          <w:color w:val="000000"/>
          <w:kern w:val="0"/>
          <w:szCs w:val="21"/>
        </w:rPr>
        <w:t>六、相关事项</w:t>
      </w:r>
    </w:p>
    <w:p w:rsidR="00721BE3" w:rsidRPr="00721BE3" w:rsidRDefault="00721BE3" w:rsidP="00721BE3">
      <w:pPr>
        <w:widowControl/>
        <w:shd w:val="clear" w:color="auto" w:fill="FFFFFF"/>
        <w:spacing w:line="300" w:lineRule="atLeast"/>
        <w:ind w:firstLine="600"/>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1、企业将申报材料一式两份，采用A4纸双面打印胶装成册（申报材料不退还），报送至松江区科委。</w:t>
      </w:r>
    </w:p>
    <w:p w:rsidR="00721BE3" w:rsidRPr="00721BE3" w:rsidRDefault="00721BE3" w:rsidP="00721BE3">
      <w:pPr>
        <w:widowControl/>
        <w:shd w:val="clear" w:color="auto" w:fill="FFFFFF"/>
        <w:spacing w:line="300" w:lineRule="atLeast"/>
        <w:ind w:firstLine="600"/>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2、网上申报时间：9月20日-9月27日(暂定)；</w:t>
      </w:r>
    </w:p>
    <w:p w:rsidR="00721BE3" w:rsidRPr="00721BE3" w:rsidRDefault="00721BE3" w:rsidP="00721BE3">
      <w:pPr>
        <w:widowControl/>
        <w:shd w:val="clear" w:color="auto" w:fill="FFFFFF"/>
        <w:spacing w:line="300" w:lineRule="atLeast"/>
        <w:ind w:firstLine="1050"/>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材料报送时间：9月23日-9月30日(暂定)；</w:t>
      </w:r>
    </w:p>
    <w:p w:rsidR="00721BE3" w:rsidRPr="00721BE3" w:rsidRDefault="00721BE3" w:rsidP="00721BE3">
      <w:pPr>
        <w:widowControl/>
        <w:shd w:val="clear" w:color="auto" w:fill="FFFFFF"/>
        <w:spacing w:line="300" w:lineRule="atLeast"/>
        <w:ind w:firstLine="1050"/>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材料报送地址：松江区园中路1号522室（区科委科技发展科）；</w:t>
      </w:r>
    </w:p>
    <w:p w:rsidR="00721BE3" w:rsidRPr="00721BE3" w:rsidRDefault="00721BE3" w:rsidP="00721BE3">
      <w:pPr>
        <w:widowControl/>
        <w:shd w:val="clear" w:color="auto" w:fill="FFFFFF"/>
        <w:spacing w:line="300" w:lineRule="atLeast"/>
        <w:ind w:firstLine="1050"/>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联系电话：37735679。</w:t>
      </w:r>
    </w:p>
    <w:p w:rsidR="00721BE3" w:rsidRPr="00721BE3" w:rsidRDefault="00721BE3" w:rsidP="00721BE3">
      <w:pPr>
        <w:widowControl/>
        <w:shd w:val="clear" w:color="auto" w:fill="FFFFFF"/>
        <w:spacing w:line="300" w:lineRule="atLeast"/>
        <w:ind w:firstLine="600"/>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3、材料1：</w:t>
      </w:r>
      <w:r w:rsidRPr="00721BE3">
        <w:rPr>
          <w:rFonts w:ascii="仿宋" w:eastAsia="仿宋" w:hAnsi="仿宋" w:cs="Calibri" w:hint="eastAsia"/>
          <w:color w:val="000000"/>
          <w:kern w:val="0"/>
          <w:szCs w:val="21"/>
          <w:bdr w:val="none" w:sz="0" w:space="0" w:color="auto" w:frame="1"/>
        </w:rPr>
        <w:t>在线填报，可生成打印；材料</w:t>
      </w:r>
      <w:r w:rsidRPr="00721BE3">
        <w:rPr>
          <w:rFonts w:ascii="仿宋" w:eastAsia="仿宋" w:hAnsi="仿宋" w:cs="Calibri" w:hint="eastAsia"/>
          <w:color w:val="000000"/>
          <w:kern w:val="0"/>
          <w:szCs w:val="21"/>
        </w:rPr>
        <w:t>2-5：通过申报平台按顺序自行上传,同一类材料合并成一个文件上传；材料1-5：按顺序胶装成册。材料6：无需企业打印，由企业至注册地相关经济管理部门领取，不封装在册。</w:t>
      </w:r>
    </w:p>
    <w:p w:rsidR="00721BE3" w:rsidRPr="00721BE3" w:rsidRDefault="00721BE3" w:rsidP="00721BE3">
      <w:pPr>
        <w:widowControl/>
        <w:shd w:val="clear" w:color="auto" w:fill="FFFFFF"/>
        <w:spacing w:line="300" w:lineRule="atLeast"/>
        <w:ind w:firstLine="3900"/>
        <w:jc w:val="left"/>
        <w:rPr>
          <w:rFonts w:ascii="Calibri" w:eastAsia="微软雅黑" w:hAnsi="Calibri" w:cs="Calibri"/>
          <w:color w:val="333333"/>
          <w:kern w:val="0"/>
          <w:szCs w:val="21"/>
        </w:rPr>
      </w:pPr>
      <w:r w:rsidRPr="00721BE3">
        <w:rPr>
          <w:rFonts w:ascii="Calibri" w:eastAsia="仿宋" w:hAnsi="Calibri" w:cs="Calibri"/>
          <w:color w:val="000000"/>
          <w:kern w:val="0"/>
          <w:szCs w:val="21"/>
        </w:rPr>
        <w:t> </w:t>
      </w:r>
    </w:p>
    <w:p w:rsidR="00721BE3" w:rsidRPr="00721BE3" w:rsidRDefault="00721BE3" w:rsidP="00721BE3">
      <w:pPr>
        <w:widowControl/>
        <w:shd w:val="clear" w:color="auto" w:fill="FFFFFF"/>
        <w:spacing w:line="300" w:lineRule="atLeast"/>
        <w:ind w:firstLine="3900"/>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 xml:space="preserve">上海市松江区科学技术委员会 </w:t>
      </w:r>
    </w:p>
    <w:p w:rsidR="00721BE3" w:rsidRPr="00721BE3" w:rsidRDefault="00721BE3" w:rsidP="00721BE3">
      <w:pPr>
        <w:widowControl/>
        <w:shd w:val="clear" w:color="auto" w:fill="FFFFFF"/>
        <w:spacing w:line="300" w:lineRule="atLeast"/>
        <w:ind w:firstLine="4950"/>
        <w:jc w:val="left"/>
        <w:rPr>
          <w:rFonts w:ascii="Calibri" w:eastAsia="微软雅黑" w:hAnsi="Calibri" w:cs="Calibri"/>
          <w:color w:val="333333"/>
          <w:kern w:val="0"/>
          <w:szCs w:val="21"/>
        </w:rPr>
      </w:pPr>
      <w:r w:rsidRPr="00721BE3">
        <w:rPr>
          <w:rFonts w:ascii="仿宋" w:eastAsia="仿宋" w:hAnsi="仿宋" w:cs="Calibri" w:hint="eastAsia"/>
          <w:color w:val="000000"/>
          <w:kern w:val="0"/>
          <w:szCs w:val="21"/>
        </w:rPr>
        <w:t>2019年8月13日</w:t>
      </w:r>
    </w:p>
    <w:p w:rsidR="00EB7D43" w:rsidRPr="00721BE3" w:rsidRDefault="00EB7D43" w:rsidP="00721BE3"/>
    <w:sectPr w:rsidR="00EB7D43" w:rsidRPr="00721B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5EC" w:rsidRDefault="000E55EC" w:rsidP="004F280A">
      <w:r>
        <w:separator/>
      </w:r>
    </w:p>
  </w:endnote>
  <w:endnote w:type="continuationSeparator" w:id="0">
    <w:p w:rsidR="000E55EC" w:rsidRDefault="000E55EC" w:rsidP="004F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5EC" w:rsidRDefault="000E55EC" w:rsidP="004F280A">
      <w:r>
        <w:separator/>
      </w:r>
    </w:p>
  </w:footnote>
  <w:footnote w:type="continuationSeparator" w:id="0">
    <w:p w:rsidR="000E55EC" w:rsidRDefault="000E55EC" w:rsidP="004F2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7C"/>
    <w:rsid w:val="000201A7"/>
    <w:rsid w:val="000E55EC"/>
    <w:rsid w:val="002903AF"/>
    <w:rsid w:val="004A5B1D"/>
    <w:rsid w:val="004F280A"/>
    <w:rsid w:val="005408D9"/>
    <w:rsid w:val="00721BE3"/>
    <w:rsid w:val="00BF52D5"/>
    <w:rsid w:val="00E26B4C"/>
    <w:rsid w:val="00EB7D43"/>
    <w:rsid w:val="00EC0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4AC7E7-F393-4039-B20E-253A3272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2903AF"/>
    <w:pPr>
      <w:widowControl/>
      <w:spacing w:before="100" w:beforeAutospacing="1" w:after="100" w:afterAutospacing="1"/>
      <w:jc w:val="left"/>
      <w:outlineLvl w:val="1"/>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8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280A"/>
    <w:rPr>
      <w:sz w:val="18"/>
      <w:szCs w:val="18"/>
    </w:rPr>
  </w:style>
  <w:style w:type="paragraph" w:styleId="a4">
    <w:name w:val="footer"/>
    <w:basedOn w:val="a"/>
    <w:link w:val="Char0"/>
    <w:uiPriority w:val="99"/>
    <w:unhideWhenUsed/>
    <w:rsid w:val="004F280A"/>
    <w:pPr>
      <w:tabs>
        <w:tab w:val="center" w:pos="4153"/>
        <w:tab w:val="right" w:pos="8306"/>
      </w:tabs>
      <w:snapToGrid w:val="0"/>
      <w:jc w:val="left"/>
    </w:pPr>
    <w:rPr>
      <w:sz w:val="18"/>
      <w:szCs w:val="18"/>
    </w:rPr>
  </w:style>
  <w:style w:type="character" w:customStyle="1" w:styleId="Char0">
    <w:name w:val="页脚 Char"/>
    <w:basedOn w:val="a0"/>
    <w:link w:val="a4"/>
    <w:uiPriority w:val="99"/>
    <w:rsid w:val="004F280A"/>
    <w:rPr>
      <w:sz w:val="18"/>
      <w:szCs w:val="18"/>
    </w:rPr>
  </w:style>
  <w:style w:type="character" w:customStyle="1" w:styleId="2Char">
    <w:name w:val="标题 2 Char"/>
    <w:basedOn w:val="a0"/>
    <w:link w:val="2"/>
    <w:uiPriority w:val="9"/>
    <w:rsid w:val="002903AF"/>
    <w:rPr>
      <w:rFonts w:ascii="宋体" w:eastAsia="宋体" w:hAnsi="宋体" w:cs="宋体"/>
      <w:b/>
      <w:bCs/>
      <w:kern w:val="0"/>
      <w:sz w:val="18"/>
      <w:szCs w:val="18"/>
    </w:rPr>
  </w:style>
  <w:style w:type="character" w:styleId="a5">
    <w:name w:val="Hyperlink"/>
    <w:basedOn w:val="a0"/>
    <w:uiPriority w:val="99"/>
    <w:semiHidden/>
    <w:unhideWhenUsed/>
    <w:rsid w:val="002903AF"/>
    <w:rPr>
      <w:color w:val="0000FF"/>
      <w:u w:val="single"/>
    </w:rPr>
  </w:style>
  <w:style w:type="character" w:styleId="a6">
    <w:name w:val="Strong"/>
    <w:basedOn w:val="a0"/>
    <w:uiPriority w:val="22"/>
    <w:qFormat/>
    <w:rsid w:val="002903AF"/>
    <w:rPr>
      <w:b/>
      <w:bCs/>
    </w:rPr>
  </w:style>
  <w:style w:type="paragraph" w:styleId="a7">
    <w:name w:val="Normal (Web)"/>
    <w:basedOn w:val="a"/>
    <w:uiPriority w:val="99"/>
    <w:semiHidden/>
    <w:unhideWhenUsed/>
    <w:rsid w:val="002903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2408">
      <w:bodyDiv w:val="1"/>
      <w:marLeft w:val="0"/>
      <w:marRight w:val="0"/>
      <w:marTop w:val="0"/>
      <w:marBottom w:val="0"/>
      <w:divBdr>
        <w:top w:val="none" w:sz="0" w:space="0" w:color="auto"/>
        <w:left w:val="none" w:sz="0" w:space="0" w:color="auto"/>
        <w:bottom w:val="none" w:sz="0" w:space="0" w:color="auto"/>
        <w:right w:val="none" w:sz="0" w:space="0" w:color="auto"/>
      </w:divBdr>
      <w:divsChild>
        <w:div w:id="310134105">
          <w:marLeft w:val="0"/>
          <w:marRight w:val="0"/>
          <w:marTop w:val="0"/>
          <w:marBottom w:val="150"/>
          <w:divBdr>
            <w:top w:val="single" w:sz="12" w:space="8" w:color="6EAAD7"/>
            <w:left w:val="single" w:sz="12" w:space="0" w:color="6EAAD7"/>
            <w:bottom w:val="single" w:sz="12" w:space="0" w:color="6EAAD7"/>
            <w:right w:val="single" w:sz="12" w:space="0" w:color="6EAAD7"/>
          </w:divBdr>
          <w:divsChild>
            <w:div w:id="688217679">
              <w:marLeft w:val="450"/>
              <w:marRight w:val="0"/>
              <w:marTop w:val="0"/>
              <w:marBottom w:val="300"/>
              <w:divBdr>
                <w:top w:val="none" w:sz="0" w:space="0" w:color="auto"/>
                <w:left w:val="none" w:sz="0" w:space="0" w:color="auto"/>
                <w:bottom w:val="none" w:sz="0" w:space="0" w:color="auto"/>
                <w:right w:val="none" w:sz="0" w:space="0" w:color="auto"/>
              </w:divBdr>
              <w:divsChild>
                <w:div w:id="6603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7829">
      <w:bodyDiv w:val="1"/>
      <w:marLeft w:val="0"/>
      <w:marRight w:val="0"/>
      <w:marTop w:val="0"/>
      <w:marBottom w:val="0"/>
      <w:divBdr>
        <w:top w:val="none" w:sz="0" w:space="0" w:color="auto"/>
        <w:left w:val="none" w:sz="0" w:space="0" w:color="auto"/>
        <w:bottom w:val="none" w:sz="0" w:space="0" w:color="auto"/>
        <w:right w:val="none" w:sz="0" w:space="0" w:color="auto"/>
      </w:divBdr>
      <w:divsChild>
        <w:div w:id="10381564">
          <w:marLeft w:val="0"/>
          <w:marRight w:val="0"/>
          <w:marTop w:val="0"/>
          <w:marBottom w:val="0"/>
          <w:divBdr>
            <w:top w:val="none" w:sz="0" w:space="0" w:color="auto"/>
            <w:left w:val="none" w:sz="0" w:space="0" w:color="auto"/>
            <w:bottom w:val="none" w:sz="0" w:space="0" w:color="auto"/>
            <w:right w:val="none" w:sz="0" w:space="0" w:color="auto"/>
          </w:divBdr>
          <w:divsChild>
            <w:div w:id="1379546322">
              <w:marLeft w:val="0"/>
              <w:marRight w:val="0"/>
              <w:marTop w:val="0"/>
              <w:marBottom w:val="0"/>
              <w:divBdr>
                <w:top w:val="none" w:sz="0" w:space="0" w:color="auto"/>
                <w:left w:val="none" w:sz="0" w:space="0" w:color="auto"/>
                <w:bottom w:val="none" w:sz="0" w:space="0" w:color="auto"/>
                <w:right w:val="none" w:sz="0" w:space="0" w:color="auto"/>
              </w:divBdr>
              <w:divsChild>
                <w:div w:id="1741513168">
                  <w:marLeft w:val="0"/>
                  <w:marRight w:val="0"/>
                  <w:marTop w:val="0"/>
                  <w:marBottom w:val="0"/>
                  <w:divBdr>
                    <w:top w:val="none" w:sz="0" w:space="0" w:color="auto"/>
                    <w:left w:val="none" w:sz="0" w:space="0" w:color="auto"/>
                    <w:bottom w:val="none" w:sz="0" w:space="0" w:color="auto"/>
                    <w:right w:val="none" w:sz="0" w:space="0" w:color="auto"/>
                  </w:divBdr>
                  <w:divsChild>
                    <w:div w:id="864370625">
                      <w:marLeft w:val="0"/>
                      <w:marRight w:val="0"/>
                      <w:marTop w:val="0"/>
                      <w:marBottom w:val="0"/>
                      <w:divBdr>
                        <w:top w:val="none" w:sz="0" w:space="0" w:color="auto"/>
                        <w:left w:val="none" w:sz="0" w:space="0" w:color="auto"/>
                        <w:bottom w:val="none" w:sz="0" w:space="0" w:color="auto"/>
                        <w:right w:val="none" w:sz="0" w:space="0" w:color="auto"/>
                      </w:divBdr>
                    </w:div>
                  </w:divsChild>
                </w:div>
                <w:div w:id="142551044">
                  <w:marLeft w:val="-450"/>
                  <w:marRight w:val="0"/>
                  <w:marTop w:val="150"/>
                  <w:marBottom w:val="0"/>
                  <w:divBdr>
                    <w:top w:val="none" w:sz="0" w:space="0" w:color="auto"/>
                    <w:left w:val="none" w:sz="0" w:space="0" w:color="auto"/>
                    <w:bottom w:val="none" w:sz="0" w:space="0" w:color="auto"/>
                    <w:right w:val="none" w:sz="0" w:space="0" w:color="auto"/>
                  </w:divBdr>
                </w:div>
                <w:div w:id="659038803">
                  <w:marLeft w:val="0"/>
                  <w:marRight w:val="0"/>
                  <w:marTop w:val="390"/>
                  <w:marBottom w:val="0"/>
                  <w:divBdr>
                    <w:top w:val="dashed" w:sz="6" w:space="19" w:color="EEEEEE"/>
                    <w:left w:val="none" w:sz="0" w:space="0" w:color="auto"/>
                    <w:bottom w:val="single" w:sz="6" w:space="30" w:color="EEEEEE"/>
                    <w:right w:val="none" w:sz="0" w:space="0" w:color="auto"/>
                  </w:divBdr>
                </w:div>
              </w:divsChild>
            </w:div>
          </w:divsChild>
        </w:div>
      </w:divsChild>
    </w:div>
    <w:div w:id="1605652108">
      <w:bodyDiv w:val="1"/>
      <w:marLeft w:val="0"/>
      <w:marRight w:val="0"/>
      <w:marTop w:val="0"/>
      <w:marBottom w:val="0"/>
      <w:divBdr>
        <w:top w:val="none" w:sz="0" w:space="0" w:color="auto"/>
        <w:left w:val="none" w:sz="0" w:space="0" w:color="auto"/>
        <w:bottom w:val="none" w:sz="0" w:space="0" w:color="auto"/>
        <w:right w:val="none" w:sz="0" w:space="0" w:color="auto"/>
      </w:divBdr>
      <w:divsChild>
        <w:div w:id="138228755">
          <w:marLeft w:val="0"/>
          <w:marRight w:val="0"/>
          <w:marTop w:val="0"/>
          <w:marBottom w:val="150"/>
          <w:divBdr>
            <w:top w:val="single" w:sz="12" w:space="8" w:color="6EAAD7"/>
            <w:left w:val="single" w:sz="12" w:space="0" w:color="6EAAD7"/>
            <w:bottom w:val="single" w:sz="12" w:space="0" w:color="6EAAD7"/>
            <w:right w:val="single" w:sz="12" w:space="0" w:color="6EAAD7"/>
          </w:divBdr>
          <w:divsChild>
            <w:div w:id="1911693318">
              <w:marLeft w:val="450"/>
              <w:marRight w:val="0"/>
              <w:marTop w:val="0"/>
              <w:marBottom w:val="300"/>
              <w:divBdr>
                <w:top w:val="none" w:sz="0" w:space="0" w:color="auto"/>
                <w:left w:val="none" w:sz="0" w:space="0" w:color="auto"/>
                <w:bottom w:val="none" w:sz="0" w:space="0" w:color="auto"/>
                <w:right w:val="none" w:sz="0" w:space="0" w:color="auto"/>
              </w:divBdr>
              <w:divsChild>
                <w:div w:id="118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01723">
      <w:bodyDiv w:val="1"/>
      <w:marLeft w:val="0"/>
      <w:marRight w:val="0"/>
      <w:marTop w:val="0"/>
      <w:marBottom w:val="0"/>
      <w:divBdr>
        <w:top w:val="none" w:sz="0" w:space="0" w:color="auto"/>
        <w:left w:val="none" w:sz="0" w:space="0" w:color="auto"/>
        <w:bottom w:val="none" w:sz="0" w:space="0" w:color="auto"/>
        <w:right w:val="none" w:sz="0" w:space="0" w:color="auto"/>
      </w:divBdr>
      <w:divsChild>
        <w:div w:id="877007803">
          <w:marLeft w:val="0"/>
          <w:marRight w:val="0"/>
          <w:marTop w:val="0"/>
          <w:marBottom w:val="150"/>
          <w:divBdr>
            <w:top w:val="single" w:sz="12" w:space="8" w:color="6EAAD7"/>
            <w:left w:val="single" w:sz="12" w:space="0" w:color="6EAAD7"/>
            <w:bottom w:val="single" w:sz="12" w:space="0" w:color="6EAAD7"/>
            <w:right w:val="single" w:sz="12" w:space="0" w:color="6EAAD7"/>
          </w:divBdr>
          <w:divsChild>
            <w:div w:id="186021387">
              <w:marLeft w:val="450"/>
              <w:marRight w:val="0"/>
              <w:marTop w:val="0"/>
              <w:marBottom w:val="300"/>
              <w:divBdr>
                <w:top w:val="none" w:sz="0" w:space="0" w:color="auto"/>
                <w:left w:val="none" w:sz="0" w:space="0" w:color="auto"/>
                <w:bottom w:val="none" w:sz="0" w:space="0" w:color="auto"/>
                <w:right w:val="none" w:sz="0" w:space="0" w:color="auto"/>
              </w:divBdr>
              <w:divsChild>
                <w:div w:id="19616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2020-09-24T09:14:00Z</dcterms:created>
  <dcterms:modified xsi:type="dcterms:W3CDTF">2020-09-27T06:19:00Z</dcterms:modified>
</cp:coreProperties>
</file>