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E02C" w14:textId="77777777" w:rsidR="007A5938" w:rsidRPr="007A5938" w:rsidRDefault="007A5938" w:rsidP="007A5938">
      <w:pPr>
        <w:widowControl/>
        <w:shd w:val="clear" w:color="auto" w:fill="FFFFFF"/>
        <w:jc w:val="center"/>
        <w:rPr>
          <w:rFonts w:ascii="宋体" w:eastAsia="宋体" w:hAnsi="宋体" w:cs="宋体"/>
          <w:b/>
          <w:bCs/>
          <w:color w:val="666666"/>
          <w:kern w:val="0"/>
          <w:sz w:val="24"/>
          <w:szCs w:val="24"/>
          <w:lang w:val="en"/>
        </w:rPr>
      </w:pPr>
      <w:r w:rsidRPr="007A5938">
        <w:rPr>
          <w:rFonts w:ascii="宋体" w:eastAsia="宋体" w:hAnsi="宋体" w:cs="宋体"/>
          <w:b/>
          <w:bCs/>
          <w:color w:val="666666"/>
          <w:kern w:val="0"/>
          <w:sz w:val="24"/>
          <w:szCs w:val="24"/>
          <w:lang w:val="en"/>
        </w:rPr>
        <w:t xml:space="preserve">扬州市服务业重大项目认定办法 </w:t>
      </w:r>
    </w:p>
    <w:bookmarkStart w:id="0" w:name="_GoBack"/>
    <w:bookmarkEnd w:id="0"/>
    <w:p w14:paraId="086469CD" w14:textId="77777777" w:rsidR="007A5938" w:rsidRPr="007A5938" w:rsidRDefault="007A5938" w:rsidP="007A5938">
      <w:pPr>
        <w:widowControl/>
        <w:shd w:val="clear" w:color="auto" w:fill="FFFFFF"/>
        <w:jc w:val="left"/>
        <w:rPr>
          <w:rFonts w:ascii="宋体" w:eastAsia="宋体" w:hAnsi="宋体" w:cs="宋体"/>
          <w:b/>
          <w:bCs/>
          <w:vanish/>
          <w:color w:val="666666"/>
          <w:kern w:val="0"/>
          <w:szCs w:val="21"/>
          <w:lang w:val="en"/>
        </w:rPr>
      </w:pPr>
      <w:r w:rsidRPr="007A5938">
        <w:rPr>
          <w:rFonts w:ascii="宋体" w:eastAsia="宋体" w:hAnsi="宋体" w:cs="宋体"/>
          <w:b/>
          <w:bCs/>
          <w:vanish/>
          <w:color w:val="666666"/>
          <w:kern w:val="0"/>
          <w:szCs w:val="21"/>
          <w:lang w:val="en"/>
        </w:rPr>
        <w:fldChar w:fldCharType="begin"/>
      </w:r>
      <w:r w:rsidRPr="007A5938">
        <w:rPr>
          <w:rFonts w:ascii="宋体" w:eastAsia="宋体" w:hAnsi="宋体" w:cs="宋体"/>
          <w:b/>
          <w:bCs/>
          <w:vanish/>
          <w:color w:val="666666"/>
          <w:kern w:val="0"/>
          <w:szCs w:val="21"/>
          <w:lang w:val="en"/>
        </w:rPr>
        <w:instrText xml:space="preserve"> HYPERLINK "http://fgw.yangzhou.gov.cn/yzfgw/tzgg/201802/f12c71faabb2439880e9eaf02b28111f.shtml" </w:instrText>
      </w:r>
      <w:r w:rsidRPr="007A5938">
        <w:rPr>
          <w:rFonts w:ascii="宋体" w:eastAsia="宋体" w:hAnsi="宋体" w:cs="宋体"/>
          <w:b/>
          <w:bCs/>
          <w:vanish/>
          <w:color w:val="666666"/>
          <w:kern w:val="0"/>
          <w:szCs w:val="21"/>
          <w:lang w:val="en"/>
        </w:rPr>
        <w:fldChar w:fldCharType="separate"/>
      </w:r>
      <w:r w:rsidRPr="007A5938">
        <w:rPr>
          <w:rFonts w:ascii="宋体" w:eastAsia="宋体" w:hAnsi="宋体" w:cs="宋体"/>
          <w:b/>
          <w:bCs/>
          <w:vanish/>
          <w:color w:val="333333"/>
          <w:kern w:val="0"/>
          <w:szCs w:val="21"/>
          <w:lang w:val="en"/>
        </w:rPr>
        <w:t>人民微博</w:t>
      </w:r>
      <w:r w:rsidRPr="007A5938">
        <w:rPr>
          <w:rFonts w:ascii="宋体" w:eastAsia="宋体" w:hAnsi="宋体" w:cs="宋体"/>
          <w:b/>
          <w:bCs/>
          <w:vanish/>
          <w:color w:val="666666"/>
          <w:kern w:val="0"/>
          <w:szCs w:val="21"/>
          <w:lang w:val="en"/>
        </w:rPr>
        <w:fldChar w:fldCharType="end"/>
      </w:r>
      <w:hyperlink r:id="rId6" w:history="1">
        <w:r w:rsidRPr="007A5938">
          <w:rPr>
            <w:rFonts w:ascii="宋体" w:eastAsia="宋体" w:hAnsi="宋体" w:cs="宋体"/>
            <w:b/>
            <w:bCs/>
            <w:vanish/>
            <w:color w:val="333333"/>
            <w:kern w:val="0"/>
            <w:szCs w:val="21"/>
            <w:lang w:val="en"/>
          </w:rPr>
          <w:t>新浪微博</w:t>
        </w:r>
      </w:hyperlink>
      <w:hyperlink r:id="rId7" w:history="1">
        <w:r w:rsidRPr="007A5938">
          <w:rPr>
            <w:rFonts w:ascii="宋体" w:eastAsia="宋体" w:hAnsi="宋体" w:cs="宋体"/>
            <w:b/>
            <w:bCs/>
            <w:vanish/>
            <w:color w:val="333333"/>
            <w:kern w:val="0"/>
            <w:szCs w:val="21"/>
            <w:lang w:val="en"/>
          </w:rPr>
          <w:t>腾讯微博</w:t>
        </w:r>
      </w:hyperlink>
    </w:p>
    <w:p w14:paraId="0F3B8809" w14:textId="77777777" w:rsidR="007A5938" w:rsidRPr="007A5938" w:rsidRDefault="007A5938" w:rsidP="007A5938">
      <w:pPr>
        <w:widowControl/>
        <w:shd w:val="clear" w:color="auto" w:fill="FFFFFF"/>
        <w:spacing w:before="120" w:after="120"/>
        <w:ind w:firstLine="480"/>
        <w:jc w:val="left"/>
        <w:rPr>
          <w:rFonts w:ascii="宋体" w:eastAsia="宋体" w:hAnsi="宋体" w:cs="宋体"/>
          <w:color w:val="666666"/>
          <w:kern w:val="0"/>
          <w:sz w:val="24"/>
          <w:szCs w:val="24"/>
          <w:lang w:val="en"/>
        </w:rPr>
      </w:pPr>
      <w:r w:rsidRPr="007A5938">
        <w:rPr>
          <w:rFonts w:ascii="宋体" w:eastAsia="宋体" w:hAnsi="宋体" w:cs="宋体" w:hint="eastAsia"/>
          <w:color w:val="666666"/>
          <w:kern w:val="0"/>
          <w:sz w:val="24"/>
          <w:szCs w:val="24"/>
          <w:lang w:val="en"/>
        </w:rPr>
        <w:t>为深入贯彻党的十九大精神，深刻把握转向高质量发展的根本要求，坚持“项目为王、效益为先”，充分发挥项目认定对项目建设的导向作用，提高投资效益、优化投资结构、推动转型升级，特修订扬州市服务业重大项目认定办法如下。</w:t>
      </w:r>
    </w:p>
    <w:p w14:paraId="79DE7B56"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一、认定标准</w:t>
      </w:r>
    </w:p>
    <w:p w14:paraId="672E89AD"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1.载体建设类</w:t>
      </w:r>
    </w:p>
    <w:p w14:paraId="7F64A05D"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内资总投资10亿元以上、外资1亿美元以上，为现代服务业发展提供载体的基本建设项目（不含商品住宅开发项目），且在认定新开工3年内通过新竣工认定的（30亿元以上项目实施期限可延长</w:t>
      </w:r>
      <w:r w:rsidRPr="007A5938">
        <w:rPr>
          <w:rFonts w:ascii="宋体" w:eastAsia="宋体" w:hAnsi="宋体" w:cs="Times New Roman" w:hint="eastAsia"/>
          <w:color w:val="666666"/>
          <w:kern w:val="0"/>
          <w:sz w:val="24"/>
          <w:szCs w:val="24"/>
          <w:lang w:val="en"/>
        </w:rPr>
        <w:t>1</w:t>
      </w:r>
      <w:r w:rsidRPr="007A5938">
        <w:rPr>
          <w:rFonts w:ascii="宋体" w:eastAsia="宋体" w:hAnsi="宋体" w:cs="宋体" w:hint="eastAsia"/>
          <w:color w:val="666666"/>
          <w:kern w:val="0"/>
          <w:sz w:val="24"/>
          <w:szCs w:val="24"/>
          <w:lang w:val="en"/>
        </w:rPr>
        <w:t>年，</w:t>
      </w:r>
      <w:r w:rsidRPr="007A5938">
        <w:rPr>
          <w:rFonts w:ascii="宋体" w:eastAsia="宋体" w:hAnsi="宋体" w:cs="Times New Roman" w:hint="eastAsia"/>
          <w:color w:val="666666"/>
          <w:kern w:val="0"/>
          <w:sz w:val="24"/>
          <w:szCs w:val="24"/>
          <w:lang w:val="en"/>
        </w:rPr>
        <w:t>50</w:t>
      </w:r>
      <w:r w:rsidRPr="007A5938">
        <w:rPr>
          <w:rFonts w:ascii="宋体" w:eastAsia="宋体" w:hAnsi="宋体" w:cs="宋体" w:hint="eastAsia"/>
          <w:color w:val="666666"/>
          <w:kern w:val="0"/>
          <w:sz w:val="24"/>
          <w:szCs w:val="24"/>
          <w:lang w:val="en"/>
        </w:rPr>
        <w:t>亿元以上项目实施期限可延长</w:t>
      </w:r>
      <w:r w:rsidRPr="007A5938">
        <w:rPr>
          <w:rFonts w:ascii="宋体" w:eastAsia="宋体" w:hAnsi="宋体" w:cs="Times New Roman" w:hint="eastAsia"/>
          <w:color w:val="666666"/>
          <w:kern w:val="0"/>
          <w:sz w:val="24"/>
          <w:szCs w:val="24"/>
          <w:lang w:val="en"/>
        </w:rPr>
        <w:t>2</w:t>
      </w:r>
      <w:r w:rsidRPr="007A5938">
        <w:rPr>
          <w:rFonts w:ascii="宋体" w:eastAsia="宋体" w:hAnsi="宋体" w:cs="宋体" w:hint="eastAsia"/>
          <w:color w:val="666666"/>
          <w:kern w:val="0"/>
          <w:sz w:val="24"/>
          <w:szCs w:val="24"/>
          <w:lang w:val="en"/>
        </w:rPr>
        <w:t>年）。</w:t>
      </w:r>
    </w:p>
    <w:p w14:paraId="52690CEA"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2.经济贡献类</w:t>
      </w:r>
    </w:p>
    <w:p w14:paraId="23215409"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（1）内资总投资1亿元、外资</w:t>
      </w:r>
      <w:r w:rsidRPr="007A5938">
        <w:rPr>
          <w:rFonts w:ascii="宋体" w:eastAsia="宋体" w:hAnsi="宋体" w:cs="Times New Roman" w:hint="eastAsia"/>
          <w:color w:val="666666"/>
          <w:kern w:val="0"/>
          <w:sz w:val="24"/>
          <w:szCs w:val="24"/>
          <w:lang w:val="en"/>
        </w:rPr>
        <w:t>1000</w:t>
      </w:r>
      <w:r w:rsidRPr="007A5938">
        <w:rPr>
          <w:rFonts w:ascii="宋体" w:eastAsia="宋体" w:hAnsi="宋体" w:cs="宋体" w:hint="eastAsia"/>
          <w:color w:val="666666"/>
          <w:kern w:val="0"/>
          <w:sz w:val="24"/>
          <w:szCs w:val="24"/>
          <w:lang w:val="en"/>
        </w:rPr>
        <w:t>万美元以上项目转化形成的服务业企业或入驻企业在设立年度成为服务业重点企业（</w:t>
      </w:r>
      <w:proofErr w:type="gramStart"/>
      <w:r w:rsidRPr="007A5938">
        <w:rPr>
          <w:rFonts w:ascii="宋体" w:eastAsia="宋体" w:hAnsi="宋体" w:cs="宋体" w:hint="eastAsia"/>
          <w:color w:val="666666"/>
          <w:kern w:val="0"/>
          <w:sz w:val="24"/>
          <w:szCs w:val="24"/>
          <w:lang w:val="en"/>
        </w:rPr>
        <w:t>含限上批零住餐企业</w:t>
      </w:r>
      <w:proofErr w:type="gramEnd"/>
      <w:r w:rsidRPr="007A5938">
        <w:rPr>
          <w:rFonts w:ascii="宋体" w:eastAsia="宋体" w:hAnsi="宋体" w:cs="宋体" w:hint="eastAsia"/>
          <w:color w:val="666666"/>
          <w:kern w:val="0"/>
          <w:sz w:val="24"/>
          <w:szCs w:val="24"/>
          <w:lang w:val="en"/>
        </w:rPr>
        <w:t>和</w:t>
      </w:r>
      <w:proofErr w:type="gramStart"/>
      <w:r w:rsidRPr="007A5938">
        <w:rPr>
          <w:rFonts w:ascii="宋体" w:eastAsia="宋体" w:hAnsi="宋体" w:cs="宋体" w:hint="eastAsia"/>
          <w:color w:val="666666"/>
          <w:kern w:val="0"/>
          <w:sz w:val="24"/>
          <w:szCs w:val="24"/>
          <w:lang w:val="en"/>
        </w:rPr>
        <w:t>规上</w:t>
      </w:r>
      <w:proofErr w:type="gramEnd"/>
      <w:r w:rsidRPr="007A5938">
        <w:rPr>
          <w:rFonts w:ascii="宋体" w:eastAsia="宋体" w:hAnsi="宋体" w:cs="宋体" w:hint="eastAsia"/>
          <w:color w:val="666666"/>
          <w:kern w:val="0"/>
          <w:sz w:val="24"/>
          <w:szCs w:val="24"/>
          <w:lang w:val="en"/>
        </w:rPr>
        <w:t>服务业企业），且年度主营收入达标的：在扬州注册的批发、零售和住宿餐饮企业，设立年度成为限上</w:t>
      </w:r>
      <w:proofErr w:type="gramStart"/>
      <w:r w:rsidRPr="007A5938">
        <w:rPr>
          <w:rFonts w:ascii="宋体" w:eastAsia="宋体" w:hAnsi="宋体" w:cs="宋体" w:hint="eastAsia"/>
          <w:color w:val="666666"/>
          <w:kern w:val="0"/>
          <w:sz w:val="24"/>
          <w:szCs w:val="24"/>
          <w:lang w:val="en"/>
        </w:rPr>
        <w:t>批零住餐</w:t>
      </w:r>
      <w:proofErr w:type="gramEnd"/>
      <w:r w:rsidRPr="007A5938">
        <w:rPr>
          <w:rFonts w:ascii="宋体" w:eastAsia="宋体" w:hAnsi="宋体" w:cs="宋体" w:hint="eastAsia"/>
          <w:color w:val="666666"/>
          <w:kern w:val="0"/>
          <w:sz w:val="24"/>
          <w:szCs w:val="24"/>
          <w:lang w:val="en"/>
        </w:rPr>
        <w:t>企业，并年度主营收入分别达1亿元以上、5000万元以上和2000万元以上的；在扬州注册的其他服务业企业（不包括</w:t>
      </w:r>
      <w:proofErr w:type="gramStart"/>
      <w:r w:rsidRPr="007A5938">
        <w:rPr>
          <w:rFonts w:ascii="宋体" w:eastAsia="宋体" w:hAnsi="宋体" w:cs="宋体" w:hint="eastAsia"/>
          <w:color w:val="666666"/>
          <w:kern w:val="0"/>
          <w:sz w:val="24"/>
          <w:szCs w:val="24"/>
          <w:lang w:val="en"/>
        </w:rPr>
        <w:t>批零住餐</w:t>
      </w:r>
      <w:proofErr w:type="gramEnd"/>
      <w:r w:rsidRPr="007A5938">
        <w:rPr>
          <w:rFonts w:ascii="宋体" w:eastAsia="宋体" w:hAnsi="宋体" w:cs="宋体" w:hint="eastAsia"/>
          <w:color w:val="666666"/>
          <w:kern w:val="0"/>
          <w:sz w:val="24"/>
          <w:szCs w:val="24"/>
          <w:lang w:val="en"/>
        </w:rPr>
        <w:t>、房地产业），设立年度成为</w:t>
      </w:r>
      <w:proofErr w:type="gramStart"/>
      <w:r w:rsidRPr="007A5938">
        <w:rPr>
          <w:rFonts w:ascii="宋体" w:eastAsia="宋体" w:hAnsi="宋体" w:cs="宋体" w:hint="eastAsia"/>
          <w:color w:val="666666"/>
          <w:kern w:val="0"/>
          <w:sz w:val="24"/>
          <w:szCs w:val="24"/>
          <w:lang w:val="en"/>
        </w:rPr>
        <w:t>规</w:t>
      </w:r>
      <w:proofErr w:type="gramEnd"/>
      <w:r w:rsidRPr="007A5938">
        <w:rPr>
          <w:rFonts w:ascii="宋体" w:eastAsia="宋体" w:hAnsi="宋体" w:cs="宋体" w:hint="eastAsia"/>
          <w:color w:val="666666"/>
          <w:kern w:val="0"/>
          <w:sz w:val="24"/>
          <w:szCs w:val="24"/>
          <w:lang w:val="en"/>
        </w:rPr>
        <w:t>上服务业重点企业，且年度销售收入2000万元以上的。</w:t>
      </w:r>
    </w:p>
    <w:p w14:paraId="50A1ADB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（2）内资总投资1亿元以上、外资</w:t>
      </w:r>
      <w:r w:rsidRPr="007A5938">
        <w:rPr>
          <w:rFonts w:ascii="宋体" w:eastAsia="宋体" w:hAnsi="宋体" w:cs="Times New Roman" w:hint="eastAsia"/>
          <w:color w:val="666666"/>
          <w:kern w:val="0"/>
          <w:sz w:val="24"/>
          <w:szCs w:val="24"/>
          <w:lang w:val="en"/>
        </w:rPr>
        <w:t>1000</w:t>
      </w:r>
      <w:r w:rsidRPr="007A5938">
        <w:rPr>
          <w:rFonts w:ascii="宋体" w:eastAsia="宋体" w:hAnsi="宋体" w:cs="宋体" w:hint="eastAsia"/>
          <w:color w:val="666666"/>
          <w:kern w:val="0"/>
          <w:sz w:val="24"/>
          <w:szCs w:val="24"/>
          <w:lang w:val="en"/>
        </w:rPr>
        <w:t>万美元以上项目转化形成的服务业企业或入驻企业在设立年度成为服务业重点企业（</w:t>
      </w:r>
      <w:proofErr w:type="gramStart"/>
      <w:r w:rsidRPr="007A5938">
        <w:rPr>
          <w:rFonts w:ascii="宋体" w:eastAsia="宋体" w:hAnsi="宋体" w:cs="宋体" w:hint="eastAsia"/>
          <w:color w:val="666666"/>
          <w:kern w:val="0"/>
          <w:sz w:val="24"/>
          <w:szCs w:val="24"/>
          <w:lang w:val="en"/>
        </w:rPr>
        <w:t>含限上批零住餐企业</w:t>
      </w:r>
      <w:proofErr w:type="gramEnd"/>
      <w:r w:rsidRPr="007A5938">
        <w:rPr>
          <w:rFonts w:ascii="宋体" w:eastAsia="宋体" w:hAnsi="宋体" w:cs="宋体" w:hint="eastAsia"/>
          <w:color w:val="666666"/>
          <w:kern w:val="0"/>
          <w:sz w:val="24"/>
          <w:szCs w:val="24"/>
          <w:lang w:val="en"/>
        </w:rPr>
        <w:t>和</w:t>
      </w:r>
      <w:proofErr w:type="gramStart"/>
      <w:r w:rsidRPr="007A5938">
        <w:rPr>
          <w:rFonts w:ascii="宋体" w:eastAsia="宋体" w:hAnsi="宋体" w:cs="宋体" w:hint="eastAsia"/>
          <w:color w:val="666666"/>
          <w:kern w:val="0"/>
          <w:sz w:val="24"/>
          <w:szCs w:val="24"/>
          <w:lang w:val="en"/>
        </w:rPr>
        <w:t>规上</w:t>
      </w:r>
      <w:proofErr w:type="gramEnd"/>
      <w:r w:rsidRPr="007A5938">
        <w:rPr>
          <w:rFonts w:ascii="宋体" w:eastAsia="宋体" w:hAnsi="宋体" w:cs="宋体" w:hint="eastAsia"/>
          <w:color w:val="666666"/>
          <w:kern w:val="0"/>
          <w:sz w:val="24"/>
          <w:szCs w:val="24"/>
          <w:lang w:val="en"/>
        </w:rPr>
        <w:t>服务业企业），且年度纳税达2000万元以上的（不包括房地产业、政府融资平台）。</w:t>
      </w:r>
    </w:p>
    <w:p w14:paraId="65932F02"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3.就业贡献类</w:t>
      </w:r>
    </w:p>
    <w:p w14:paraId="5A7F4986"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内资总投资1亿元以上、外资</w:t>
      </w:r>
      <w:r w:rsidRPr="007A5938">
        <w:rPr>
          <w:rFonts w:ascii="宋体" w:eastAsia="宋体" w:hAnsi="宋体" w:cs="Times New Roman" w:hint="eastAsia"/>
          <w:color w:val="666666"/>
          <w:kern w:val="0"/>
          <w:sz w:val="24"/>
          <w:szCs w:val="24"/>
          <w:lang w:val="en"/>
        </w:rPr>
        <w:t>1000</w:t>
      </w:r>
      <w:r w:rsidRPr="007A5938">
        <w:rPr>
          <w:rFonts w:ascii="宋体" w:eastAsia="宋体" w:hAnsi="宋体" w:cs="宋体" w:hint="eastAsia"/>
          <w:color w:val="666666"/>
          <w:kern w:val="0"/>
          <w:sz w:val="24"/>
          <w:szCs w:val="24"/>
          <w:lang w:val="en"/>
        </w:rPr>
        <w:t>万美元以上项目转化形成的服务业企业或入驻企业（不包括</w:t>
      </w:r>
      <w:proofErr w:type="gramStart"/>
      <w:r w:rsidRPr="007A5938">
        <w:rPr>
          <w:rFonts w:ascii="宋体" w:eastAsia="宋体" w:hAnsi="宋体" w:cs="宋体" w:hint="eastAsia"/>
          <w:color w:val="666666"/>
          <w:kern w:val="0"/>
          <w:sz w:val="24"/>
          <w:szCs w:val="24"/>
          <w:lang w:val="en"/>
        </w:rPr>
        <w:t>批零住餐</w:t>
      </w:r>
      <w:proofErr w:type="gramEnd"/>
      <w:r w:rsidRPr="007A5938">
        <w:rPr>
          <w:rFonts w:ascii="宋体" w:eastAsia="宋体" w:hAnsi="宋体" w:cs="宋体" w:hint="eastAsia"/>
          <w:color w:val="666666"/>
          <w:kern w:val="0"/>
          <w:sz w:val="24"/>
          <w:szCs w:val="24"/>
          <w:lang w:val="en"/>
        </w:rPr>
        <w:t>企业）在设立年度成为</w:t>
      </w:r>
      <w:proofErr w:type="gramStart"/>
      <w:r w:rsidRPr="007A5938">
        <w:rPr>
          <w:rFonts w:ascii="宋体" w:eastAsia="宋体" w:hAnsi="宋体" w:cs="宋体" w:hint="eastAsia"/>
          <w:color w:val="666666"/>
          <w:kern w:val="0"/>
          <w:sz w:val="24"/>
          <w:szCs w:val="24"/>
          <w:lang w:val="en"/>
        </w:rPr>
        <w:t>规</w:t>
      </w:r>
      <w:proofErr w:type="gramEnd"/>
      <w:r w:rsidRPr="007A5938">
        <w:rPr>
          <w:rFonts w:ascii="宋体" w:eastAsia="宋体" w:hAnsi="宋体" w:cs="宋体" w:hint="eastAsia"/>
          <w:color w:val="666666"/>
          <w:kern w:val="0"/>
          <w:sz w:val="24"/>
          <w:szCs w:val="24"/>
          <w:lang w:val="en"/>
        </w:rPr>
        <w:t>上服务业企业，依法参加社会保险的从业人员100人以上，且大学生比例达80%以上的。</w:t>
      </w:r>
    </w:p>
    <w:p w14:paraId="603485CD"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经济贡献类和就业贡献类项目认定标准中所述服务业企业不含房地产企业、行政事业单位、政府融资平台类企业。已认定为载体建设类服务业重大项目的项目，不再参加经济贡献类和就业贡献类项目申报。</w:t>
      </w:r>
    </w:p>
    <w:p w14:paraId="59FDE76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二、认定环节及申报材料</w:t>
      </w:r>
    </w:p>
    <w:p w14:paraId="7CA45E9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环节</w:t>
      </w:r>
      <w:proofErr w:type="gramStart"/>
      <w:r w:rsidRPr="007A5938">
        <w:rPr>
          <w:rFonts w:ascii="宋体" w:eastAsia="宋体" w:hAnsi="宋体" w:cs="宋体" w:hint="eastAsia"/>
          <w:b/>
          <w:bCs/>
          <w:color w:val="666666"/>
          <w:kern w:val="0"/>
          <w:sz w:val="24"/>
          <w:szCs w:val="24"/>
          <w:lang w:val="en"/>
        </w:rPr>
        <w:t>一</w:t>
      </w:r>
      <w:proofErr w:type="gramEnd"/>
      <w:r w:rsidRPr="007A5938">
        <w:rPr>
          <w:rFonts w:ascii="宋体" w:eastAsia="宋体" w:hAnsi="宋体" w:cs="宋体" w:hint="eastAsia"/>
          <w:b/>
          <w:bCs/>
          <w:color w:val="666666"/>
          <w:kern w:val="0"/>
          <w:sz w:val="24"/>
          <w:szCs w:val="24"/>
          <w:lang w:val="en"/>
        </w:rPr>
        <w:t>：</w:t>
      </w:r>
      <w:r w:rsidRPr="007A5938">
        <w:rPr>
          <w:rFonts w:ascii="宋体" w:eastAsia="宋体" w:hAnsi="宋体" w:cs="宋体" w:hint="eastAsia"/>
          <w:color w:val="666666"/>
          <w:kern w:val="0"/>
          <w:sz w:val="24"/>
          <w:szCs w:val="24"/>
          <w:lang w:val="en"/>
        </w:rPr>
        <w:t>新签约（仅针对载体建设类项目）</w:t>
      </w:r>
    </w:p>
    <w:p w14:paraId="48CED6AC"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申报要件：</w:t>
      </w:r>
      <w:r w:rsidRPr="007A5938">
        <w:rPr>
          <w:rFonts w:ascii="宋体" w:eastAsia="宋体" w:hAnsi="宋体" w:cs="宋体" w:hint="eastAsia"/>
          <w:color w:val="666666"/>
          <w:kern w:val="0"/>
          <w:sz w:val="24"/>
          <w:szCs w:val="24"/>
          <w:lang w:val="en"/>
        </w:rPr>
        <w:t>载体建设类项目提供有明确投资额、注册资金、实施期限和产出预计，甲乙双方已盖章确认的规范合同文本。</w:t>
      </w:r>
    </w:p>
    <w:p w14:paraId="420E6751"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环节二：</w:t>
      </w:r>
      <w:r w:rsidRPr="007A5938">
        <w:rPr>
          <w:rFonts w:ascii="宋体" w:eastAsia="宋体" w:hAnsi="宋体" w:cs="宋体" w:hint="eastAsia"/>
          <w:color w:val="666666"/>
          <w:kern w:val="0"/>
          <w:sz w:val="24"/>
          <w:szCs w:val="24"/>
          <w:lang w:val="en"/>
        </w:rPr>
        <w:t>新开工</w:t>
      </w:r>
    </w:p>
    <w:p w14:paraId="3D9E584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申报要件：</w:t>
      </w:r>
      <w:r w:rsidRPr="007A5938">
        <w:rPr>
          <w:rFonts w:ascii="宋体" w:eastAsia="宋体" w:hAnsi="宋体" w:cs="宋体" w:hint="eastAsia"/>
          <w:color w:val="666666"/>
          <w:kern w:val="0"/>
          <w:sz w:val="24"/>
          <w:szCs w:val="24"/>
          <w:lang w:val="en"/>
        </w:rPr>
        <w:t>1.载体建设类项目提供投资主管部门审批文件、规划、土地、环评、建筑工程施工许可，且已纳入统计部门固定资产投资项目库或达到进库</w:t>
      </w:r>
      <w:r w:rsidRPr="007A5938">
        <w:rPr>
          <w:rFonts w:ascii="宋体" w:eastAsia="宋体" w:hAnsi="宋体" w:cs="宋体" w:hint="eastAsia"/>
          <w:color w:val="666666"/>
          <w:kern w:val="0"/>
          <w:sz w:val="24"/>
          <w:szCs w:val="24"/>
          <w:lang w:val="en"/>
        </w:rPr>
        <w:lastRenderedPageBreak/>
        <w:t>条件。2.经济贡献类、就业贡献类项目在产出贡献达到标准，通过新达效认定后，一并认定为新开工项目。</w:t>
      </w:r>
    </w:p>
    <w:p w14:paraId="7EAE85EB"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环节三：</w:t>
      </w:r>
      <w:r w:rsidRPr="007A5938">
        <w:rPr>
          <w:rFonts w:ascii="宋体" w:eastAsia="宋体" w:hAnsi="宋体" w:cs="宋体" w:hint="eastAsia"/>
          <w:color w:val="666666"/>
          <w:kern w:val="0"/>
          <w:sz w:val="24"/>
          <w:szCs w:val="24"/>
          <w:lang w:val="en"/>
        </w:rPr>
        <w:t>新竣工</w:t>
      </w:r>
    </w:p>
    <w:p w14:paraId="0854838F"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申报要件：</w:t>
      </w:r>
      <w:r w:rsidRPr="007A5938">
        <w:rPr>
          <w:rFonts w:ascii="宋体" w:eastAsia="宋体" w:hAnsi="宋体" w:cs="宋体" w:hint="eastAsia"/>
          <w:color w:val="666666"/>
          <w:kern w:val="0"/>
          <w:sz w:val="24"/>
          <w:szCs w:val="24"/>
          <w:lang w:val="en"/>
        </w:rPr>
        <w:t>1.载体建设类项目提供《竣工验收鉴定书》备案表、统计部门项目实际完成投资证明材料。2.经济贡献类、就业贡献类项目在产出贡献达到标准，通过新达效认定后，一并认定为新竣工项目。</w:t>
      </w:r>
    </w:p>
    <w:p w14:paraId="2D47A9B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环节四</w:t>
      </w:r>
      <w:r w:rsidRPr="007A5938">
        <w:rPr>
          <w:rFonts w:ascii="宋体" w:eastAsia="宋体" w:hAnsi="宋体" w:cs="宋体" w:hint="eastAsia"/>
          <w:color w:val="666666"/>
          <w:kern w:val="0"/>
          <w:sz w:val="24"/>
          <w:szCs w:val="24"/>
          <w:lang w:val="en"/>
        </w:rPr>
        <w:t>：新达效</w:t>
      </w:r>
    </w:p>
    <w:p w14:paraId="3147989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b/>
          <w:bCs/>
          <w:color w:val="666666"/>
          <w:kern w:val="0"/>
          <w:sz w:val="24"/>
          <w:szCs w:val="24"/>
          <w:lang w:val="en"/>
        </w:rPr>
        <w:t>申报要件</w:t>
      </w:r>
      <w:r w:rsidRPr="007A5938">
        <w:rPr>
          <w:rFonts w:ascii="宋体" w:eastAsia="宋体" w:hAnsi="宋体" w:cs="宋体" w:hint="eastAsia"/>
          <w:color w:val="666666"/>
          <w:kern w:val="0"/>
          <w:sz w:val="24"/>
          <w:szCs w:val="24"/>
          <w:lang w:val="en"/>
        </w:rPr>
        <w:t>：1.载体建设类项目提供税务部门纳税证明（竣工后的第一年或第二年、第三年、第四年年度运营主体及入驻企业纳税合计达400万元、</w:t>
      </w:r>
      <w:r w:rsidRPr="007A5938">
        <w:rPr>
          <w:rFonts w:ascii="宋体" w:eastAsia="宋体" w:hAnsi="宋体" w:cs="Times New Roman" w:hint="eastAsia"/>
          <w:color w:val="666666"/>
          <w:kern w:val="0"/>
          <w:sz w:val="24"/>
          <w:szCs w:val="24"/>
          <w:lang w:val="en"/>
        </w:rPr>
        <w:t>450</w:t>
      </w:r>
      <w:r w:rsidRPr="007A5938">
        <w:rPr>
          <w:rFonts w:ascii="宋体" w:eastAsia="宋体" w:hAnsi="宋体" w:cs="宋体" w:hint="eastAsia"/>
          <w:color w:val="666666"/>
          <w:kern w:val="0"/>
          <w:sz w:val="24"/>
          <w:szCs w:val="24"/>
          <w:lang w:val="en"/>
        </w:rPr>
        <w:t>万元、</w:t>
      </w:r>
      <w:r w:rsidRPr="007A5938">
        <w:rPr>
          <w:rFonts w:ascii="宋体" w:eastAsia="宋体" w:hAnsi="宋体" w:cs="Times New Roman" w:hint="eastAsia"/>
          <w:color w:val="666666"/>
          <w:kern w:val="0"/>
          <w:sz w:val="24"/>
          <w:szCs w:val="24"/>
          <w:lang w:val="en"/>
        </w:rPr>
        <w:t>500</w:t>
      </w:r>
      <w:r w:rsidRPr="007A5938">
        <w:rPr>
          <w:rFonts w:ascii="宋体" w:eastAsia="宋体" w:hAnsi="宋体" w:cs="宋体" w:hint="eastAsia"/>
          <w:color w:val="666666"/>
          <w:kern w:val="0"/>
          <w:sz w:val="24"/>
          <w:szCs w:val="24"/>
          <w:lang w:val="en"/>
        </w:rPr>
        <w:t>万元以上的，均可于当年认定为新达效）和统计部门</w:t>
      </w:r>
      <w:proofErr w:type="gramStart"/>
      <w:r w:rsidRPr="007A5938">
        <w:rPr>
          <w:rFonts w:ascii="宋体" w:eastAsia="宋体" w:hAnsi="宋体" w:cs="宋体" w:hint="eastAsia"/>
          <w:color w:val="666666"/>
          <w:kern w:val="0"/>
          <w:sz w:val="24"/>
          <w:szCs w:val="24"/>
          <w:lang w:val="en"/>
        </w:rPr>
        <w:t>列统证明</w:t>
      </w:r>
      <w:proofErr w:type="gramEnd"/>
      <w:r w:rsidRPr="007A5938">
        <w:rPr>
          <w:rFonts w:ascii="宋体" w:eastAsia="宋体" w:hAnsi="宋体" w:cs="宋体" w:hint="eastAsia"/>
          <w:color w:val="666666"/>
          <w:kern w:val="0"/>
          <w:sz w:val="24"/>
          <w:szCs w:val="24"/>
          <w:lang w:val="en"/>
        </w:rPr>
        <w:t>材料（运营主体或入驻企业新增为重点服务业企业，含</w:t>
      </w:r>
      <w:proofErr w:type="gramStart"/>
      <w:r w:rsidRPr="007A5938">
        <w:rPr>
          <w:rFonts w:ascii="宋体" w:eastAsia="宋体" w:hAnsi="宋体" w:cs="宋体" w:hint="eastAsia"/>
          <w:color w:val="666666"/>
          <w:kern w:val="0"/>
          <w:sz w:val="24"/>
          <w:szCs w:val="24"/>
          <w:lang w:val="en"/>
        </w:rPr>
        <w:t>规</w:t>
      </w:r>
      <w:proofErr w:type="gramEnd"/>
      <w:r w:rsidRPr="007A5938">
        <w:rPr>
          <w:rFonts w:ascii="宋体" w:eastAsia="宋体" w:hAnsi="宋体" w:cs="宋体" w:hint="eastAsia"/>
          <w:color w:val="666666"/>
          <w:kern w:val="0"/>
          <w:sz w:val="24"/>
          <w:szCs w:val="24"/>
          <w:lang w:val="en"/>
        </w:rPr>
        <w:t>上服务业企业、限上</w:t>
      </w:r>
      <w:proofErr w:type="gramStart"/>
      <w:r w:rsidRPr="007A5938">
        <w:rPr>
          <w:rFonts w:ascii="宋体" w:eastAsia="宋体" w:hAnsi="宋体" w:cs="宋体" w:hint="eastAsia"/>
          <w:color w:val="666666"/>
          <w:kern w:val="0"/>
          <w:sz w:val="24"/>
          <w:szCs w:val="24"/>
          <w:lang w:val="en"/>
        </w:rPr>
        <w:t>批零住餐</w:t>
      </w:r>
      <w:proofErr w:type="gramEnd"/>
      <w:r w:rsidRPr="007A5938">
        <w:rPr>
          <w:rFonts w:ascii="宋体" w:eastAsia="宋体" w:hAnsi="宋体" w:cs="宋体" w:hint="eastAsia"/>
          <w:color w:val="666666"/>
          <w:kern w:val="0"/>
          <w:sz w:val="24"/>
          <w:szCs w:val="24"/>
          <w:lang w:val="en"/>
        </w:rPr>
        <w:t>企业）。</w:t>
      </w:r>
      <w:r w:rsidRPr="007A5938">
        <w:rPr>
          <w:rFonts w:ascii="宋体" w:eastAsia="宋体" w:hAnsi="宋体" w:cs="Times New Roman" w:hint="eastAsia"/>
          <w:color w:val="666666"/>
          <w:kern w:val="0"/>
          <w:sz w:val="24"/>
          <w:szCs w:val="24"/>
          <w:lang w:val="en"/>
        </w:rPr>
        <w:t>2.</w:t>
      </w:r>
      <w:r w:rsidRPr="007A5938">
        <w:rPr>
          <w:rFonts w:ascii="宋体" w:eastAsia="宋体" w:hAnsi="宋体" w:cs="宋体" w:hint="eastAsia"/>
          <w:color w:val="666666"/>
          <w:kern w:val="0"/>
          <w:sz w:val="24"/>
          <w:szCs w:val="24"/>
          <w:lang w:val="en"/>
        </w:rPr>
        <w:t>经济贡献类项目需为进库项目（服务业重点项目库及统计局固定资产投资项目库），并提供投资主管部门3年内核发的审批文件、营业执照、统计部门</w:t>
      </w:r>
      <w:proofErr w:type="gramStart"/>
      <w:r w:rsidRPr="007A5938">
        <w:rPr>
          <w:rFonts w:ascii="宋体" w:eastAsia="宋体" w:hAnsi="宋体" w:cs="宋体" w:hint="eastAsia"/>
          <w:color w:val="666666"/>
          <w:kern w:val="0"/>
          <w:sz w:val="24"/>
          <w:szCs w:val="24"/>
          <w:lang w:val="en"/>
        </w:rPr>
        <w:t>列统证明</w:t>
      </w:r>
      <w:proofErr w:type="gramEnd"/>
      <w:r w:rsidRPr="007A5938">
        <w:rPr>
          <w:rFonts w:ascii="宋体" w:eastAsia="宋体" w:hAnsi="宋体" w:cs="宋体" w:hint="eastAsia"/>
          <w:color w:val="666666"/>
          <w:kern w:val="0"/>
          <w:sz w:val="24"/>
          <w:szCs w:val="24"/>
          <w:lang w:val="en"/>
        </w:rPr>
        <w:t>材料、统计部门主营收入（销售收入）证明材料或税务部门纳税凭证。3.就业贡献类项目需为进库项目（服务业重点项目库及统计局固定资产投资项目库），并提供投资主管部门3年内核发的审批文件、营业执照、统计部门</w:t>
      </w:r>
      <w:proofErr w:type="gramStart"/>
      <w:r w:rsidRPr="007A5938">
        <w:rPr>
          <w:rFonts w:ascii="宋体" w:eastAsia="宋体" w:hAnsi="宋体" w:cs="宋体" w:hint="eastAsia"/>
          <w:color w:val="666666"/>
          <w:kern w:val="0"/>
          <w:sz w:val="24"/>
          <w:szCs w:val="24"/>
          <w:lang w:val="en"/>
        </w:rPr>
        <w:t>列统证明</w:t>
      </w:r>
      <w:proofErr w:type="gramEnd"/>
      <w:r w:rsidRPr="007A5938">
        <w:rPr>
          <w:rFonts w:ascii="宋体" w:eastAsia="宋体" w:hAnsi="宋体" w:cs="宋体" w:hint="eastAsia"/>
          <w:color w:val="666666"/>
          <w:kern w:val="0"/>
          <w:sz w:val="24"/>
          <w:szCs w:val="24"/>
          <w:lang w:val="en"/>
        </w:rPr>
        <w:t>材料、</w:t>
      </w:r>
      <w:proofErr w:type="gramStart"/>
      <w:r w:rsidRPr="007A5938">
        <w:rPr>
          <w:rFonts w:ascii="宋体" w:eastAsia="宋体" w:hAnsi="宋体" w:cs="宋体" w:hint="eastAsia"/>
          <w:color w:val="666666"/>
          <w:kern w:val="0"/>
          <w:sz w:val="24"/>
          <w:szCs w:val="24"/>
          <w:lang w:val="en"/>
        </w:rPr>
        <w:t>人社部门从业人员社保证明</w:t>
      </w:r>
      <w:proofErr w:type="gramEnd"/>
      <w:r w:rsidRPr="007A5938">
        <w:rPr>
          <w:rFonts w:ascii="宋体" w:eastAsia="宋体" w:hAnsi="宋体" w:cs="宋体" w:hint="eastAsia"/>
          <w:color w:val="666666"/>
          <w:kern w:val="0"/>
          <w:sz w:val="24"/>
          <w:szCs w:val="24"/>
          <w:lang w:val="en"/>
        </w:rPr>
        <w:t>。</w:t>
      </w:r>
    </w:p>
    <w:p w14:paraId="22B6C0E3"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三、认定程序</w:t>
      </w:r>
    </w:p>
    <w:p w14:paraId="581295FC"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1.成立由市委重大办、</w:t>
      </w:r>
      <w:proofErr w:type="gramStart"/>
      <w:r w:rsidRPr="007A5938">
        <w:rPr>
          <w:rFonts w:ascii="宋体" w:eastAsia="宋体" w:hAnsi="宋体" w:cs="宋体" w:hint="eastAsia"/>
          <w:color w:val="666666"/>
          <w:kern w:val="0"/>
          <w:sz w:val="24"/>
          <w:szCs w:val="24"/>
          <w:lang w:val="en"/>
        </w:rPr>
        <w:t>市发改委</w:t>
      </w:r>
      <w:proofErr w:type="gramEnd"/>
      <w:r w:rsidRPr="007A5938">
        <w:rPr>
          <w:rFonts w:ascii="宋体" w:eastAsia="宋体" w:hAnsi="宋体" w:cs="宋体" w:hint="eastAsia"/>
          <w:color w:val="666666"/>
          <w:kern w:val="0"/>
          <w:sz w:val="24"/>
          <w:szCs w:val="24"/>
          <w:lang w:val="en"/>
        </w:rPr>
        <w:t>、各服务业重点产业指挥部办公室、统计局、财政局、国税局、地税局、工商局、</w:t>
      </w:r>
      <w:proofErr w:type="gramStart"/>
      <w:r w:rsidRPr="007A5938">
        <w:rPr>
          <w:rFonts w:ascii="宋体" w:eastAsia="宋体" w:hAnsi="宋体" w:cs="宋体" w:hint="eastAsia"/>
          <w:color w:val="666666"/>
          <w:kern w:val="0"/>
          <w:sz w:val="24"/>
          <w:szCs w:val="24"/>
          <w:lang w:val="en"/>
        </w:rPr>
        <w:t>人社局</w:t>
      </w:r>
      <w:proofErr w:type="gramEnd"/>
      <w:r w:rsidRPr="007A5938">
        <w:rPr>
          <w:rFonts w:ascii="宋体" w:eastAsia="宋体" w:hAnsi="宋体" w:cs="宋体" w:hint="eastAsia"/>
          <w:color w:val="666666"/>
          <w:kern w:val="0"/>
          <w:sz w:val="24"/>
          <w:szCs w:val="24"/>
          <w:lang w:val="en"/>
        </w:rPr>
        <w:t>、环保局、规划局、国土局、建设局和各县（市、区）、功能区代表组成的服务业重大项目联合认定工作组。</w:t>
      </w:r>
    </w:p>
    <w:p w14:paraId="5C10D65D"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2.各县（市、区）、功能区服务业主管部门对照项目认定标准及条件，分别填写《扬州市服务业重大项目认定申请表》，附相关证明材料一并</w:t>
      </w:r>
      <w:proofErr w:type="gramStart"/>
      <w:r w:rsidRPr="007A5938">
        <w:rPr>
          <w:rFonts w:ascii="宋体" w:eastAsia="宋体" w:hAnsi="宋体" w:cs="宋体" w:hint="eastAsia"/>
          <w:color w:val="666666"/>
          <w:kern w:val="0"/>
          <w:sz w:val="24"/>
          <w:szCs w:val="24"/>
          <w:lang w:val="en"/>
        </w:rPr>
        <w:t>报市发改委</w:t>
      </w:r>
      <w:proofErr w:type="gramEnd"/>
      <w:r w:rsidRPr="007A5938">
        <w:rPr>
          <w:rFonts w:ascii="宋体" w:eastAsia="宋体" w:hAnsi="宋体" w:cs="宋体" w:hint="eastAsia"/>
          <w:color w:val="666666"/>
          <w:kern w:val="0"/>
          <w:sz w:val="24"/>
          <w:szCs w:val="24"/>
          <w:lang w:val="en"/>
        </w:rPr>
        <w:t>（服务业办公室）。</w:t>
      </w:r>
    </w:p>
    <w:p w14:paraId="0CFC8441"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3.</w:t>
      </w:r>
      <w:proofErr w:type="gramStart"/>
      <w:r w:rsidRPr="007A5938">
        <w:rPr>
          <w:rFonts w:ascii="宋体" w:eastAsia="宋体" w:hAnsi="宋体" w:cs="宋体" w:hint="eastAsia"/>
          <w:color w:val="666666"/>
          <w:kern w:val="0"/>
          <w:sz w:val="24"/>
          <w:szCs w:val="24"/>
          <w:lang w:val="en"/>
        </w:rPr>
        <w:t>市发改委</w:t>
      </w:r>
      <w:proofErr w:type="gramEnd"/>
      <w:r w:rsidRPr="007A5938">
        <w:rPr>
          <w:rFonts w:ascii="宋体" w:eastAsia="宋体" w:hAnsi="宋体" w:cs="宋体" w:hint="eastAsia"/>
          <w:color w:val="666666"/>
          <w:kern w:val="0"/>
          <w:sz w:val="24"/>
          <w:szCs w:val="24"/>
          <w:lang w:val="en"/>
        </w:rPr>
        <w:t>（服务业办公室）对申报资料进行核查，视项目类别组织服务业重大项目联合认定工作组相关人员现场勘察，形成认定意见报市服务业领导小组审定。</w:t>
      </w:r>
    </w:p>
    <w:p w14:paraId="4E6A7C9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4.载体建设类重大项目通过新开工认定后，即对接统计部门开展固定资产投资项目数据跟踪和报送。</w:t>
      </w:r>
    </w:p>
    <w:p w14:paraId="663B8C6B"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5.载体建设类重大项目通过新竣工认定后，由县（市、区）、功能区服务业局会统计部门，开展营业收入、就业人员等数据跟踪，及时申报服务业重点企业。</w:t>
      </w:r>
    </w:p>
    <w:p w14:paraId="1586C89B"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6.经济贡献类和就业贡献类项目实行年度申报。</w:t>
      </w:r>
    </w:p>
    <w:p w14:paraId="6ECA8CB7"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四、考核方法</w:t>
      </w:r>
    </w:p>
    <w:p w14:paraId="6B854156"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1.服务业重大项目实施</w:t>
      </w:r>
      <w:r w:rsidRPr="007A5938">
        <w:rPr>
          <w:rFonts w:ascii="宋体" w:eastAsia="宋体" w:hAnsi="宋体" w:cs="Times New Roman" w:hint="eastAsia"/>
          <w:color w:val="666666"/>
          <w:kern w:val="0"/>
          <w:sz w:val="24"/>
          <w:szCs w:val="24"/>
          <w:lang w:val="en"/>
        </w:rPr>
        <w:t>100</w:t>
      </w:r>
      <w:r w:rsidRPr="007A5938">
        <w:rPr>
          <w:rFonts w:ascii="宋体" w:eastAsia="宋体" w:hAnsi="宋体" w:cs="宋体" w:hint="eastAsia"/>
          <w:color w:val="666666"/>
          <w:kern w:val="0"/>
          <w:sz w:val="24"/>
          <w:szCs w:val="24"/>
          <w:lang w:val="en"/>
        </w:rPr>
        <w:t>分考核，其中新开工</w:t>
      </w:r>
      <w:r w:rsidRPr="007A5938">
        <w:rPr>
          <w:rFonts w:ascii="宋体" w:eastAsia="宋体" w:hAnsi="宋体" w:cs="Times New Roman" w:hint="eastAsia"/>
          <w:color w:val="666666"/>
          <w:kern w:val="0"/>
          <w:sz w:val="24"/>
          <w:szCs w:val="24"/>
          <w:lang w:val="en"/>
        </w:rPr>
        <w:t>40</w:t>
      </w:r>
      <w:r w:rsidRPr="007A5938">
        <w:rPr>
          <w:rFonts w:ascii="宋体" w:eastAsia="宋体" w:hAnsi="宋体" w:cs="宋体" w:hint="eastAsia"/>
          <w:color w:val="666666"/>
          <w:kern w:val="0"/>
          <w:sz w:val="24"/>
          <w:szCs w:val="24"/>
          <w:lang w:val="en"/>
        </w:rPr>
        <w:t>分、新竣工</w:t>
      </w:r>
      <w:r w:rsidRPr="007A5938">
        <w:rPr>
          <w:rFonts w:ascii="宋体" w:eastAsia="宋体" w:hAnsi="宋体" w:cs="Times New Roman" w:hint="eastAsia"/>
          <w:color w:val="666666"/>
          <w:kern w:val="0"/>
          <w:sz w:val="24"/>
          <w:szCs w:val="24"/>
          <w:lang w:val="en"/>
        </w:rPr>
        <w:t>20</w:t>
      </w:r>
      <w:r w:rsidRPr="007A5938">
        <w:rPr>
          <w:rFonts w:ascii="宋体" w:eastAsia="宋体" w:hAnsi="宋体" w:cs="宋体" w:hint="eastAsia"/>
          <w:color w:val="666666"/>
          <w:kern w:val="0"/>
          <w:sz w:val="24"/>
          <w:szCs w:val="24"/>
          <w:lang w:val="en"/>
        </w:rPr>
        <w:t>分、新达效</w:t>
      </w:r>
      <w:r w:rsidRPr="007A5938">
        <w:rPr>
          <w:rFonts w:ascii="宋体" w:eastAsia="宋体" w:hAnsi="宋体" w:cs="Times New Roman" w:hint="eastAsia"/>
          <w:color w:val="666666"/>
          <w:kern w:val="0"/>
          <w:sz w:val="24"/>
          <w:szCs w:val="24"/>
          <w:lang w:val="en"/>
        </w:rPr>
        <w:t>40</w:t>
      </w:r>
      <w:r w:rsidRPr="007A5938">
        <w:rPr>
          <w:rFonts w:ascii="宋体" w:eastAsia="宋体" w:hAnsi="宋体" w:cs="宋体" w:hint="eastAsia"/>
          <w:color w:val="666666"/>
          <w:kern w:val="0"/>
          <w:sz w:val="24"/>
          <w:szCs w:val="24"/>
          <w:lang w:val="en"/>
        </w:rPr>
        <w:t>分。</w:t>
      </w:r>
    </w:p>
    <w:p w14:paraId="72287FFE" w14:textId="77777777" w:rsidR="007A5938" w:rsidRPr="007A5938" w:rsidRDefault="007A5938" w:rsidP="007A5938">
      <w:pPr>
        <w:widowControl/>
        <w:shd w:val="clear" w:color="auto" w:fill="FFFFFF"/>
        <w:spacing w:before="120" w:after="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t>2.载体建设类项目未能完成年度投资计划的，在年度考核中相应扣分。</w:t>
      </w:r>
    </w:p>
    <w:p w14:paraId="16C327F1" w14:textId="77777777" w:rsidR="007A5938" w:rsidRPr="007A5938" w:rsidRDefault="007A5938" w:rsidP="007A5938">
      <w:pPr>
        <w:widowControl/>
        <w:shd w:val="clear" w:color="auto" w:fill="FFFFFF"/>
        <w:spacing w:before="120"/>
        <w:ind w:firstLine="480"/>
        <w:jc w:val="left"/>
        <w:rPr>
          <w:rFonts w:ascii="宋体" w:eastAsia="宋体" w:hAnsi="宋体" w:cs="宋体" w:hint="eastAsia"/>
          <w:color w:val="666666"/>
          <w:kern w:val="0"/>
          <w:sz w:val="24"/>
          <w:szCs w:val="24"/>
          <w:lang w:val="en"/>
        </w:rPr>
      </w:pPr>
      <w:r w:rsidRPr="007A5938">
        <w:rPr>
          <w:rFonts w:ascii="宋体" w:eastAsia="宋体" w:hAnsi="宋体" w:cs="宋体" w:hint="eastAsia"/>
          <w:color w:val="666666"/>
          <w:kern w:val="0"/>
          <w:sz w:val="24"/>
          <w:szCs w:val="24"/>
          <w:lang w:val="en"/>
        </w:rPr>
        <w:lastRenderedPageBreak/>
        <w:t>3.对提供虚假材料的，追究提供单位及相关人员责任。</w:t>
      </w:r>
    </w:p>
    <w:p w14:paraId="1868D036" w14:textId="77777777" w:rsidR="00762DBE" w:rsidRPr="007A5938" w:rsidRDefault="00762DBE">
      <w:pPr>
        <w:rPr>
          <w:lang w:val="en"/>
        </w:rPr>
      </w:pPr>
    </w:p>
    <w:sectPr w:rsidR="00762DBE" w:rsidRPr="007A59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FE04" w14:textId="77777777" w:rsidR="007C40D4" w:rsidRDefault="007C40D4" w:rsidP="007A5938">
      <w:r>
        <w:separator/>
      </w:r>
    </w:p>
  </w:endnote>
  <w:endnote w:type="continuationSeparator" w:id="0">
    <w:p w14:paraId="7B48CBD8" w14:textId="77777777" w:rsidR="007C40D4" w:rsidRDefault="007C40D4" w:rsidP="007A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CBD5" w14:textId="77777777" w:rsidR="007C40D4" w:rsidRDefault="007C40D4" w:rsidP="007A5938">
      <w:r>
        <w:separator/>
      </w:r>
    </w:p>
  </w:footnote>
  <w:footnote w:type="continuationSeparator" w:id="0">
    <w:p w14:paraId="4409A021" w14:textId="77777777" w:rsidR="007C40D4" w:rsidRDefault="007C40D4" w:rsidP="007A5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95"/>
    <w:rsid w:val="00084495"/>
    <w:rsid w:val="00762DBE"/>
    <w:rsid w:val="007A5938"/>
    <w:rsid w:val="007C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0FCC3-3AAD-4D80-8DAC-4304479D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9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5938"/>
    <w:rPr>
      <w:sz w:val="18"/>
      <w:szCs w:val="18"/>
    </w:rPr>
  </w:style>
  <w:style w:type="paragraph" w:styleId="a5">
    <w:name w:val="footer"/>
    <w:basedOn w:val="a"/>
    <w:link w:val="a6"/>
    <w:uiPriority w:val="99"/>
    <w:unhideWhenUsed/>
    <w:rsid w:val="007A5938"/>
    <w:pPr>
      <w:tabs>
        <w:tab w:val="center" w:pos="4153"/>
        <w:tab w:val="right" w:pos="8306"/>
      </w:tabs>
      <w:snapToGrid w:val="0"/>
      <w:jc w:val="left"/>
    </w:pPr>
    <w:rPr>
      <w:sz w:val="18"/>
      <w:szCs w:val="18"/>
    </w:rPr>
  </w:style>
  <w:style w:type="character" w:customStyle="1" w:styleId="a6">
    <w:name w:val="页脚 字符"/>
    <w:basedOn w:val="a0"/>
    <w:link w:val="a5"/>
    <w:uiPriority w:val="99"/>
    <w:rsid w:val="007A59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64917">
      <w:bodyDiv w:val="1"/>
      <w:marLeft w:val="0"/>
      <w:marRight w:val="0"/>
      <w:marTop w:val="0"/>
      <w:marBottom w:val="0"/>
      <w:divBdr>
        <w:top w:val="none" w:sz="0" w:space="0" w:color="auto"/>
        <w:left w:val="none" w:sz="0" w:space="0" w:color="auto"/>
        <w:bottom w:val="none" w:sz="0" w:space="0" w:color="auto"/>
        <w:right w:val="none" w:sz="0" w:space="0" w:color="auto"/>
      </w:divBdr>
      <w:divsChild>
        <w:div w:id="253711405">
          <w:marLeft w:val="0"/>
          <w:marRight w:val="0"/>
          <w:marTop w:val="100"/>
          <w:marBottom w:val="100"/>
          <w:divBdr>
            <w:top w:val="none" w:sz="0" w:space="0" w:color="auto"/>
            <w:left w:val="none" w:sz="0" w:space="0" w:color="auto"/>
            <w:bottom w:val="none" w:sz="0" w:space="0" w:color="auto"/>
            <w:right w:val="none" w:sz="0" w:space="0" w:color="auto"/>
          </w:divBdr>
          <w:divsChild>
            <w:div w:id="1641308307">
              <w:marLeft w:val="0"/>
              <w:marRight w:val="0"/>
              <w:marTop w:val="0"/>
              <w:marBottom w:val="150"/>
              <w:divBdr>
                <w:top w:val="none" w:sz="0" w:space="0" w:color="auto"/>
                <w:left w:val="none" w:sz="0" w:space="0" w:color="auto"/>
                <w:bottom w:val="none" w:sz="0" w:space="0" w:color="auto"/>
                <w:right w:val="none" w:sz="0" w:space="0" w:color="auto"/>
              </w:divBdr>
              <w:divsChild>
                <w:div w:id="720175724">
                  <w:marLeft w:val="0"/>
                  <w:marRight w:val="0"/>
                  <w:marTop w:val="0"/>
                  <w:marBottom w:val="0"/>
                  <w:divBdr>
                    <w:top w:val="single" w:sz="12" w:space="0" w:color="CCCCCC"/>
                    <w:left w:val="single" w:sz="12" w:space="0" w:color="CCCCCC"/>
                    <w:bottom w:val="single" w:sz="12" w:space="0" w:color="CCCCCC"/>
                    <w:right w:val="single" w:sz="12" w:space="0" w:color="CCCCCC"/>
                  </w:divBdr>
                  <w:divsChild>
                    <w:div w:id="435826986">
                      <w:marLeft w:val="0"/>
                      <w:marRight w:val="0"/>
                      <w:marTop w:val="0"/>
                      <w:marBottom w:val="0"/>
                      <w:divBdr>
                        <w:top w:val="single" w:sz="6" w:space="0" w:color="FF9933"/>
                        <w:left w:val="single" w:sz="6" w:space="0" w:color="FF9933"/>
                        <w:bottom w:val="single" w:sz="6" w:space="0" w:color="FF9933"/>
                        <w:right w:val="single" w:sz="6" w:space="0" w:color="FF99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gw.yangzhou.gov.cn/yzfgw/tzgg/201802/f12c71faabb2439880e9eaf02b28111f.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w.yangzhou.gov.cn/yzfgw/tzgg/201802/f12c71faabb2439880e9eaf02b28111f.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2018-10-08T05:46:00Z</dcterms:created>
  <dcterms:modified xsi:type="dcterms:W3CDTF">2018-10-08T05:47:00Z</dcterms:modified>
</cp:coreProperties>
</file>