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9DC" w:rsidRPr="00D229DC" w:rsidRDefault="00D229DC" w:rsidP="00D229DC">
      <w:pPr>
        <w:widowControl/>
        <w:spacing w:after="150"/>
        <w:jc w:val="center"/>
        <w:outlineLvl w:val="1"/>
        <w:rPr>
          <w:rFonts w:ascii="inherit" w:eastAsia="微软雅黑" w:hAnsi="inherit" w:cs="宋体"/>
          <w:color w:val="00438A"/>
          <w:kern w:val="0"/>
          <w:sz w:val="30"/>
          <w:szCs w:val="30"/>
        </w:rPr>
      </w:pPr>
      <w:r w:rsidRPr="00D229DC">
        <w:rPr>
          <w:rFonts w:ascii="inherit" w:eastAsia="微软雅黑" w:hAnsi="inherit" w:cs="宋体"/>
          <w:color w:val="00438A"/>
          <w:kern w:val="0"/>
          <w:sz w:val="30"/>
          <w:szCs w:val="30"/>
        </w:rPr>
        <w:t>关于发布</w:t>
      </w:r>
      <w:r w:rsidRPr="00D229DC">
        <w:rPr>
          <w:rFonts w:ascii="inherit" w:eastAsia="微软雅黑" w:hAnsi="inherit" w:cs="宋体"/>
          <w:color w:val="00438A"/>
          <w:kern w:val="0"/>
          <w:sz w:val="30"/>
          <w:szCs w:val="30"/>
        </w:rPr>
        <w:t>“2020</w:t>
      </w:r>
      <w:r w:rsidRPr="00D229DC">
        <w:rPr>
          <w:rFonts w:ascii="inherit" w:eastAsia="微软雅黑" w:hAnsi="inherit" w:cs="宋体"/>
          <w:color w:val="00438A"/>
          <w:kern w:val="0"/>
          <w:sz w:val="30"/>
          <w:szCs w:val="30"/>
        </w:rPr>
        <w:t>年度闵行区重大产业技术攻关计划和民生科技计划</w:t>
      </w:r>
      <w:r w:rsidRPr="00D229DC">
        <w:rPr>
          <w:rFonts w:ascii="inherit" w:eastAsia="微软雅黑" w:hAnsi="inherit" w:cs="宋体"/>
          <w:color w:val="00438A"/>
          <w:kern w:val="0"/>
          <w:sz w:val="30"/>
          <w:szCs w:val="30"/>
        </w:rPr>
        <w:t>”</w:t>
      </w:r>
      <w:r w:rsidRPr="00D229DC">
        <w:rPr>
          <w:rFonts w:ascii="inherit" w:eastAsia="微软雅黑" w:hAnsi="inherit" w:cs="宋体"/>
          <w:color w:val="00438A"/>
          <w:kern w:val="0"/>
          <w:sz w:val="30"/>
          <w:szCs w:val="30"/>
        </w:rPr>
        <w:t>项目申报的通知</w:t>
      </w:r>
    </w:p>
    <w:p w:rsidR="00D229DC" w:rsidRPr="00D229DC" w:rsidRDefault="00D229DC" w:rsidP="00D229DC">
      <w:pPr>
        <w:widowControl/>
        <w:spacing w:after="150" w:line="555" w:lineRule="atLeast"/>
        <w:jc w:val="left"/>
        <w:rPr>
          <w:rFonts w:ascii="å®‹ä½“" w:eastAsia="å®‹ä½“" w:hAnsi="微软雅黑" w:cs="宋体" w:hint="eastAsia"/>
          <w:kern w:val="0"/>
          <w:sz w:val="24"/>
          <w:szCs w:val="24"/>
        </w:rPr>
      </w:pPr>
      <w:bookmarkStart w:id="0" w:name="_GoBack"/>
      <w:bookmarkEnd w:id="0"/>
      <w:r w:rsidRPr="00D229DC">
        <w:rPr>
          <w:rFonts w:ascii="å®‹ä½“" w:eastAsia="å®‹ä½“" w:hAnsi="微软雅黑" w:cs="宋体" w:hint="eastAsia"/>
          <w:kern w:val="0"/>
          <w:sz w:val="24"/>
          <w:szCs w:val="24"/>
        </w:rPr>
        <w:t>各有关单位：</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kern w:val="0"/>
          <w:sz w:val="24"/>
          <w:szCs w:val="24"/>
        </w:rPr>
        <w:t xml:space="preserve">根据闵行区人民政府关于印发《闵行区关于推进科技创新创业和成果转化的政策意见》（闵府规发〔2019〕1号）的通知要求，2020年度闵行区重大产业技术攻关计划和民生科技计划项目申报工作已启动。具体事宜通知如下： </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kern w:val="0"/>
          <w:sz w:val="24"/>
          <w:szCs w:val="24"/>
        </w:rPr>
        <w:t>一、申报对象</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kern w:val="0"/>
          <w:sz w:val="24"/>
          <w:szCs w:val="24"/>
        </w:rPr>
        <w:t>在本区注册并纳税、具有独立法人资格且具备下列条件的科技型企业均可申报：</w:t>
      </w:r>
      <w:r w:rsidRPr="00D229DC">
        <w:rPr>
          <w:rFonts w:ascii="å®‹ä½“" w:eastAsia="å®‹ä½“" w:hAnsi="微软雅黑" w:cs="宋体" w:hint="eastAsia"/>
          <w:kern w:val="0"/>
          <w:sz w:val="24"/>
          <w:szCs w:val="24"/>
        </w:rPr>
        <w:t> </w:t>
      </w:r>
      <w:r w:rsidRPr="00D229DC">
        <w:rPr>
          <w:rFonts w:ascii="å®‹ä½“" w:eastAsia="å®‹ä½“" w:hAnsi="微软雅黑" w:cs="宋体" w:hint="eastAsia"/>
          <w:kern w:val="0"/>
          <w:sz w:val="24"/>
          <w:szCs w:val="24"/>
        </w:rPr>
        <w:t xml:space="preserve"> </w:t>
      </w:r>
      <w:r w:rsidRPr="00D229DC">
        <w:rPr>
          <w:rFonts w:ascii="å®‹ä½“" w:eastAsia="å®‹ä½“" w:hAnsi="微软雅黑" w:cs="宋体" w:hint="eastAsia"/>
          <w:kern w:val="0"/>
          <w:sz w:val="24"/>
          <w:szCs w:val="24"/>
        </w:rPr>
        <w:t> </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kern w:val="0"/>
          <w:sz w:val="24"/>
          <w:szCs w:val="24"/>
        </w:rPr>
        <w:t xml:space="preserve">1、有承担项目的资金、技术力量及设施设备，有明晰的知识产权，有健全的管理制度。 </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kern w:val="0"/>
          <w:sz w:val="24"/>
          <w:szCs w:val="24"/>
        </w:rPr>
        <w:t>2、重大产业技术攻关计划：根据本区产业发展布局，聚焦一批有战略意义和市场前景的产业技术，支持以企业为主体实施技术攻关，形成一批具有自主知识产权的关键技术和核心技术，提升产业竞争力,重点支持生物医药、人工智能、高端装备、新一代信息技术相关领域，支持项目研发投入不少于500万元，项目执行期内累计销售不少于1000万元的自主创新项目，且企业近五年授权的发明专利不少于2项。</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kern w:val="0"/>
          <w:sz w:val="24"/>
          <w:szCs w:val="24"/>
        </w:rPr>
        <w:t xml:space="preserve">3、民生科技计划：重点支持现代农业、公共安全、生态环境、公共卫生、防灾减灾、节能环保等领域的技术创新和示范应用，促进科技惠及民生，更好地满足人民群众日益增长的物质和文化需求，为全面建设小康社会提供有力支撑。 </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kern w:val="0"/>
          <w:sz w:val="24"/>
          <w:szCs w:val="24"/>
        </w:rPr>
        <w:t>二、申报方式与流程</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b/>
          <w:bCs/>
          <w:kern w:val="0"/>
          <w:sz w:val="24"/>
          <w:szCs w:val="24"/>
        </w:rPr>
        <w:lastRenderedPageBreak/>
        <w:t>1、网上填报。</w:t>
      </w:r>
      <w:r w:rsidRPr="00D229DC">
        <w:rPr>
          <w:rFonts w:ascii="å®‹ä½“" w:eastAsia="å®‹ä½“" w:hAnsi="微软雅黑" w:cs="宋体" w:hint="eastAsia"/>
          <w:kern w:val="0"/>
          <w:sz w:val="24"/>
          <w:szCs w:val="24"/>
        </w:rPr>
        <w:t>符合申报要求的企业登陆“闵行区企业服务平台” （kjzc.shmh.gov.cn），通过法人一证通登陆方可进行项目申报。</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b/>
          <w:bCs/>
          <w:kern w:val="0"/>
          <w:sz w:val="24"/>
          <w:szCs w:val="24"/>
        </w:rPr>
        <w:t>2、推荐单位审核。</w:t>
      </w:r>
      <w:r w:rsidRPr="00D229DC">
        <w:rPr>
          <w:rFonts w:ascii="å®‹ä½“" w:eastAsia="å®‹ä½“" w:hAnsi="微软雅黑" w:cs="宋体" w:hint="eastAsia"/>
          <w:kern w:val="0"/>
          <w:sz w:val="24"/>
          <w:szCs w:val="24"/>
        </w:rPr>
        <w:t>申报企业完成网上填报并上传相关附件后，由纳税所在地的镇、街道、莘庄工业区（园区）科技主管部门（附件1，以下简称科技主管部门）或相关单位作为推荐单位，在网上负责审核本项目申报材料完整性、申报资格和推荐工作。</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b/>
          <w:bCs/>
          <w:kern w:val="0"/>
          <w:sz w:val="24"/>
          <w:szCs w:val="24"/>
        </w:rPr>
        <w:t>3、科委审核。</w:t>
      </w:r>
      <w:r w:rsidRPr="00D229DC">
        <w:rPr>
          <w:rFonts w:ascii="å®‹ä½“" w:eastAsia="å®‹ä½“" w:hAnsi="微软雅黑" w:cs="宋体" w:hint="eastAsia"/>
          <w:kern w:val="0"/>
          <w:sz w:val="24"/>
          <w:szCs w:val="24"/>
        </w:rPr>
        <w:t>经推荐单位网上审核同意后，科委进行形式审核。</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b/>
          <w:bCs/>
          <w:kern w:val="0"/>
          <w:sz w:val="24"/>
          <w:szCs w:val="24"/>
        </w:rPr>
        <w:t>4、网上评审。</w:t>
      </w:r>
      <w:r w:rsidRPr="00D229DC">
        <w:rPr>
          <w:rFonts w:ascii="å®‹ä½“" w:eastAsia="å®‹ä½“" w:hAnsi="微软雅黑" w:cs="宋体" w:hint="eastAsia"/>
          <w:kern w:val="0"/>
          <w:sz w:val="24"/>
          <w:szCs w:val="24"/>
        </w:rPr>
        <w:t>经科委网上审核通过后进入专家网上评审阶段。</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b/>
          <w:bCs/>
          <w:kern w:val="0"/>
          <w:sz w:val="24"/>
          <w:szCs w:val="24"/>
        </w:rPr>
        <w:t>5、诚信核查。</w:t>
      </w:r>
      <w:r w:rsidRPr="00D229DC">
        <w:rPr>
          <w:rFonts w:ascii="å®‹ä½“" w:eastAsia="å®‹ä½“" w:hAnsi="微软雅黑" w:cs="宋体" w:hint="eastAsia"/>
          <w:kern w:val="0"/>
          <w:sz w:val="24"/>
          <w:szCs w:val="24"/>
        </w:rPr>
        <w:t>区科委对项目申报单位依托区诚信办进行社会信用核查。</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b/>
          <w:bCs/>
          <w:kern w:val="0"/>
          <w:sz w:val="24"/>
          <w:szCs w:val="24"/>
        </w:rPr>
        <w:t>6、综合评审。</w:t>
      </w:r>
      <w:r w:rsidRPr="00D229DC">
        <w:rPr>
          <w:rFonts w:ascii="å®‹ä½“" w:eastAsia="å®‹ä½“" w:hAnsi="微软雅黑" w:cs="宋体" w:hint="eastAsia"/>
          <w:kern w:val="0"/>
          <w:sz w:val="24"/>
          <w:szCs w:val="24"/>
        </w:rPr>
        <w:t>区科委组织参与网上评审的专家，召开综合评审会。</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b/>
          <w:bCs/>
          <w:kern w:val="0"/>
          <w:sz w:val="24"/>
          <w:szCs w:val="24"/>
        </w:rPr>
        <w:t>7、行政审核。</w:t>
      </w:r>
      <w:r w:rsidRPr="00D229DC">
        <w:rPr>
          <w:rFonts w:ascii="å®‹ä½“" w:eastAsia="å®‹ä½“" w:hAnsi="微软雅黑" w:cs="宋体" w:hint="eastAsia"/>
          <w:kern w:val="0"/>
          <w:sz w:val="24"/>
          <w:szCs w:val="24"/>
        </w:rPr>
        <w:t>区科委经行政办公会审核项目评审情况后确定拟立项名单。</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b/>
          <w:bCs/>
          <w:kern w:val="0"/>
          <w:sz w:val="24"/>
          <w:szCs w:val="24"/>
        </w:rPr>
        <w:t>8、项目公示。</w:t>
      </w:r>
      <w:r w:rsidRPr="00D229DC">
        <w:rPr>
          <w:rFonts w:ascii="å®‹ä½“" w:eastAsia="å®‹ä½“" w:hAnsi="微软雅黑" w:cs="宋体" w:hint="eastAsia"/>
          <w:kern w:val="0"/>
          <w:sz w:val="24"/>
          <w:szCs w:val="24"/>
        </w:rPr>
        <w:t>对拟立项名单进行公示，公示期不少于五个工作日。</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kern w:val="0"/>
          <w:sz w:val="24"/>
          <w:szCs w:val="24"/>
        </w:rPr>
        <w:t> </w:t>
      </w:r>
      <w:r w:rsidRPr="00D229DC">
        <w:rPr>
          <w:rFonts w:ascii="å®‹ä½“" w:eastAsia="å®‹ä½“" w:hAnsi="微软雅黑" w:cs="宋体" w:hint="eastAsia"/>
          <w:kern w:val="0"/>
          <w:sz w:val="24"/>
          <w:szCs w:val="24"/>
        </w:rPr>
        <w:t>三、申报要求</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b/>
          <w:bCs/>
          <w:kern w:val="0"/>
          <w:sz w:val="24"/>
          <w:szCs w:val="24"/>
        </w:rPr>
        <w:t>（一）项目申报时间</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kern w:val="0"/>
          <w:sz w:val="24"/>
          <w:szCs w:val="24"/>
        </w:rPr>
        <w:t>1、项目网上申报日期为：2020年4月8日上午9:00—5月8日下午17:00止，请申报单位认真填写申报材料并尽早提交。</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kern w:val="0"/>
          <w:sz w:val="24"/>
          <w:szCs w:val="24"/>
        </w:rPr>
        <w:t>2、推荐单位审核时间为：2020年4月9日上午9：00—5月14日下午17:00止）。</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kern w:val="0"/>
          <w:sz w:val="24"/>
          <w:szCs w:val="24"/>
        </w:rPr>
        <w:lastRenderedPageBreak/>
        <w:t>3、重大产业技术攻关和民生科技计划项目立项后执行期为1-2年，项目执行期均从2020年1月1日开始，项目需在2021年12月31日前完成。最晚2022年6月前申请验收。</w:t>
      </w:r>
      <w:r w:rsidRPr="00D229DC">
        <w:rPr>
          <w:rFonts w:ascii="å®‹ä½“" w:eastAsia="å®‹ä½“" w:hAnsi="微软雅黑" w:cs="宋体" w:hint="eastAsia"/>
          <w:kern w:val="0"/>
          <w:sz w:val="24"/>
          <w:szCs w:val="24"/>
        </w:rPr>
        <w:t> </w:t>
      </w:r>
      <w:r w:rsidRPr="00D229DC">
        <w:rPr>
          <w:rFonts w:ascii="å®‹ä½“" w:eastAsia="å®‹ä½“" w:hAnsi="微软雅黑" w:cs="宋体" w:hint="eastAsia"/>
          <w:kern w:val="0"/>
          <w:sz w:val="24"/>
          <w:szCs w:val="24"/>
        </w:rPr>
        <w:t xml:space="preserve"> </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b/>
          <w:bCs/>
          <w:kern w:val="0"/>
          <w:sz w:val="24"/>
          <w:szCs w:val="24"/>
        </w:rPr>
        <w:t>（二）项目申报单位应提供以下材料：</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kern w:val="0"/>
          <w:sz w:val="24"/>
          <w:szCs w:val="24"/>
        </w:rPr>
        <w:t>1、闵行区科技项目申请/计划任务书；</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kern w:val="0"/>
          <w:sz w:val="24"/>
          <w:szCs w:val="24"/>
        </w:rPr>
        <w:t>2、企业营业执照、税务登记证复印件；</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kern w:val="0"/>
          <w:sz w:val="24"/>
          <w:szCs w:val="24"/>
        </w:rPr>
        <w:t>3、上年度的财务报表复印件（资产负债表、损益表、现金流量表，电子财务报表须盖企业公章再上传、纸质财务报表须盖企业公章）；</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kern w:val="0"/>
          <w:sz w:val="24"/>
          <w:szCs w:val="24"/>
        </w:rPr>
        <w:t>4、与项目相关的知识产权证明材料。包括专利证书或受理通知、软件著作权证书、科技成果或许可成果转化的证明、知识产权授权使用的证明等；</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kern w:val="0"/>
          <w:sz w:val="24"/>
          <w:szCs w:val="24"/>
        </w:rPr>
        <w:t>5、涉及行政许可的特种行业，应提供许可资质证明；</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kern w:val="0"/>
          <w:sz w:val="24"/>
          <w:szCs w:val="24"/>
        </w:rPr>
        <w:t xml:space="preserve">6、除上述材料外，项目申报单位可提供以下辅助材料：查新报告(若项目在执行期内做的是可以的）、检测报告、高新技术企业证书、用户报告等材料。 </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b/>
          <w:bCs/>
          <w:kern w:val="0"/>
          <w:sz w:val="24"/>
          <w:szCs w:val="24"/>
        </w:rPr>
        <w:t>（三）申报咨询：</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kern w:val="0"/>
          <w:sz w:val="24"/>
          <w:szCs w:val="24"/>
        </w:rPr>
        <w:t>建议申报企业加入“闵行科技企业服务QQ群”：125704153，可在线咨询，入群时请备注姓名+单位名称，否则无法验证通过。</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kern w:val="0"/>
          <w:sz w:val="24"/>
          <w:szCs w:val="24"/>
        </w:rPr>
        <w:t>申报政策咨询：陆亚卉、马晓军</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kern w:val="0"/>
          <w:sz w:val="24"/>
          <w:szCs w:val="24"/>
        </w:rPr>
        <w:t>咨询电话：54176001、64986336</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kern w:val="0"/>
          <w:sz w:val="24"/>
          <w:szCs w:val="24"/>
        </w:rPr>
        <w:t>地址：闵行区莘西路376号207室创新发展科。</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b/>
          <w:bCs/>
          <w:kern w:val="0"/>
          <w:sz w:val="24"/>
          <w:szCs w:val="24"/>
        </w:rPr>
        <w:t>（四）系统技术咨询：</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kern w:val="0"/>
          <w:sz w:val="24"/>
          <w:szCs w:val="24"/>
        </w:rPr>
        <w:lastRenderedPageBreak/>
        <w:t>申报中系统出现问题，请联系刘工：13816070542。</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kern w:val="0"/>
          <w:sz w:val="24"/>
          <w:szCs w:val="24"/>
        </w:rPr>
        <w:t>四、项目资助方式</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kern w:val="0"/>
          <w:sz w:val="24"/>
          <w:szCs w:val="24"/>
        </w:rPr>
        <w:t> </w:t>
      </w:r>
      <w:r w:rsidRPr="00D229DC">
        <w:rPr>
          <w:rFonts w:ascii="å®‹ä½“" w:eastAsia="å®‹ä½“" w:hAnsi="微软雅黑" w:cs="宋体" w:hint="eastAsia"/>
          <w:kern w:val="0"/>
          <w:sz w:val="24"/>
          <w:szCs w:val="24"/>
        </w:rPr>
        <w:t>重大产业技术攻关计划项目立项后给予50%的资金拨付，其余经费视项目验收情况拨付；民生科技计划项目资助经费项目验收后拨付，项目通过验收后，视验收情况拨付。</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kern w:val="0"/>
          <w:sz w:val="24"/>
          <w:szCs w:val="24"/>
        </w:rPr>
        <w:t>五、声明</w:t>
      </w:r>
    </w:p>
    <w:p w:rsidR="00D229DC" w:rsidRPr="00D229DC" w:rsidRDefault="00D229DC" w:rsidP="00D229DC">
      <w:pPr>
        <w:widowControl/>
        <w:spacing w:after="150" w:line="555" w:lineRule="atLeast"/>
        <w:ind w:firstLine="600"/>
        <w:jc w:val="left"/>
        <w:rPr>
          <w:rFonts w:ascii="å®‹ä½“" w:eastAsia="å®‹ä½“" w:hAnsi="微软雅黑" w:cs="宋体" w:hint="eastAsia"/>
          <w:kern w:val="0"/>
          <w:sz w:val="24"/>
          <w:szCs w:val="24"/>
        </w:rPr>
      </w:pPr>
      <w:r w:rsidRPr="00D229DC">
        <w:rPr>
          <w:rFonts w:ascii="å®‹ä½“" w:eastAsia="å®‹ä½“" w:hAnsi="微软雅黑" w:cs="宋体" w:hint="eastAsia"/>
          <w:kern w:val="0"/>
          <w:sz w:val="24"/>
          <w:szCs w:val="24"/>
        </w:rPr>
        <w:t>闵行区科委从未委托任何机构或个人代理本专项项目申报事宜，请项目单位自主申报，我委将严格按照有关标准和程序受理申请，申报企业可及时反馈意见建议。</w:t>
      </w:r>
    </w:p>
    <w:p w:rsidR="00D229DC" w:rsidRPr="00D229DC" w:rsidRDefault="00D229DC" w:rsidP="00D229DC">
      <w:pPr>
        <w:widowControl/>
        <w:spacing w:after="150" w:line="555" w:lineRule="atLeast"/>
        <w:jc w:val="left"/>
        <w:rPr>
          <w:rFonts w:ascii="å®‹ä½“" w:eastAsia="å®‹ä½“" w:hAnsi="微软雅黑" w:cs="宋体" w:hint="eastAsia"/>
          <w:kern w:val="0"/>
          <w:sz w:val="24"/>
          <w:szCs w:val="24"/>
        </w:rPr>
      </w:pPr>
      <w:r w:rsidRPr="00D229DC">
        <w:rPr>
          <w:rFonts w:ascii="å®‹ä½“" w:eastAsia="å®‹ä½“" w:hAnsi="微软雅黑" w:cs="宋体" w:hint="eastAsia"/>
          <w:kern w:val="0"/>
          <w:sz w:val="24"/>
          <w:szCs w:val="24"/>
        </w:rPr>
        <w:t> </w:t>
      </w:r>
    </w:p>
    <w:p w:rsidR="00D229DC" w:rsidRPr="00D229DC" w:rsidRDefault="00D229DC" w:rsidP="00D229DC">
      <w:pPr>
        <w:widowControl/>
        <w:spacing w:after="150"/>
        <w:ind w:right="720" w:firstLine="3900"/>
        <w:jc w:val="right"/>
        <w:rPr>
          <w:rFonts w:ascii="å®‹ä½“" w:eastAsia="å®‹ä½“" w:hAnsi="微软雅黑" w:cs="宋体" w:hint="eastAsia"/>
          <w:kern w:val="0"/>
          <w:sz w:val="24"/>
          <w:szCs w:val="24"/>
        </w:rPr>
      </w:pPr>
      <w:r w:rsidRPr="00D229DC">
        <w:rPr>
          <w:rFonts w:ascii="å®‹ä½“" w:eastAsia="å®‹ä½“" w:hAnsi="微软雅黑" w:cs="宋体" w:hint="eastAsia"/>
          <w:kern w:val="0"/>
          <w:sz w:val="24"/>
          <w:szCs w:val="24"/>
        </w:rPr>
        <w:t>上海市闵行区科学技术委员会</w:t>
      </w:r>
    </w:p>
    <w:p w:rsidR="00D229DC" w:rsidRPr="00D229DC" w:rsidRDefault="00D229DC" w:rsidP="00D229DC">
      <w:pPr>
        <w:widowControl/>
        <w:spacing w:after="150"/>
        <w:ind w:right="720" w:firstLine="4350"/>
        <w:jc w:val="right"/>
        <w:rPr>
          <w:rFonts w:ascii="å®‹ä½“" w:eastAsia="å®‹ä½“" w:hAnsi="微软雅黑" w:cs="宋体" w:hint="eastAsia"/>
          <w:kern w:val="0"/>
          <w:sz w:val="24"/>
          <w:szCs w:val="24"/>
        </w:rPr>
      </w:pPr>
      <w:r w:rsidRPr="00D229DC">
        <w:rPr>
          <w:rFonts w:ascii="å®‹ä½“" w:eastAsia="å®‹ä½“" w:hAnsi="微软雅黑" w:cs="宋体" w:hint="eastAsia"/>
          <w:kern w:val="0"/>
          <w:sz w:val="24"/>
          <w:szCs w:val="24"/>
        </w:rPr>
        <w:t>2020年4月7日</w:t>
      </w:r>
    </w:p>
    <w:p w:rsidR="005369E0" w:rsidRDefault="005369E0"/>
    <w:sectPr w:rsidR="005369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387" w:rsidRDefault="00A86387" w:rsidP="00D229DC">
      <w:r>
        <w:separator/>
      </w:r>
    </w:p>
  </w:endnote>
  <w:endnote w:type="continuationSeparator" w:id="0">
    <w:p w:rsidR="00A86387" w:rsidRDefault="00A86387" w:rsidP="00D2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å®‹ä½“">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387" w:rsidRDefault="00A86387" w:rsidP="00D229DC">
      <w:r>
        <w:separator/>
      </w:r>
    </w:p>
  </w:footnote>
  <w:footnote w:type="continuationSeparator" w:id="0">
    <w:p w:rsidR="00A86387" w:rsidRDefault="00A86387" w:rsidP="00D22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D4"/>
    <w:rsid w:val="001C7DD4"/>
    <w:rsid w:val="005369E0"/>
    <w:rsid w:val="00A86387"/>
    <w:rsid w:val="00D22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CBD4E2-5DB3-46C6-B38B-7C7E142B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29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29DC"/>
    <w:rPr>
      <w:sz w:val="18"/>
      <w:szCs w:val="18"/>
    </w:rPr>
  </w:style>
  <w:style w:type="paragraph" w:styleId="a4">
    <w:name w:val="footer"/>
    <w:basedOn w:val="a"/>
    <w:link w:val="Char0"/>
    <w:uiPriority w:val="99"/>
    <w:unhideWhenUsed/>
    <w:rsid w:val="00D229DC"/>
    <w:pPr>
      <w:tabs>
        <w:tab w:val="center" w:pos="4153"/>
        <w:tab w:val="right" w:pos="8306"/>
      </w:tabs>
      <w:snapToGrid w:val="0"/>
      <w:jc w:val="left"/>
    </w:pPr>
    <w:rPr>
      <w:sz w:val="18"/>
      <w:szCs w:val="18"/>
    </w:rPr>
  </w:style>
  <w:style w:type="character" w:customStyle="1" w:styleId="Char0">
    <w:name w:val="页脚 Char"/>
    <w:basedOn w:val="a0"/>
    <w:link w:val="a4"/>
    <w:uiPriority w:val="99"/>
    <w:rsid w:val="00D229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88005">
      <w:bodyDiv w:val="1"/>
      <w:marLeft w:val="0"/>
      <w:marRight w:val="0"/>
      <w:marTop w:val="0"/>
      <w:marBottom w:val="0"/>
      <w:divBdr>
        <w:top w:val="none" w:sz="0" w:space="0" w:color="auto"/>
        <w:left w:val="none" w:sz="0" w:space="0" w:color="auto"/>
        <w:bottom w:val="none" w:sz="0" w:space="0" w:color="auto"/>
        <w:right w:val="none" w:sz="0" w:space="0" w:color="auto"/>
      </w:divBdr>
      <w:divsChild>
        <w:div w:id="1705640443">
          <w:marLeft w:val="0"/>
          <w:marRight w:val="0"/>
          <w:marTop w:val="0"/>
          <w:marBottom w:val="0"/>
          <w:divBdr>
            <w:top w:val="none" w:sz="0" w:space="0" w:color="auto"/>
            <w:left w:val="none" w:sz="0" w:space="0" w:color="auto"/>
            <w:bottom w:val="none" w:sz="0" w:space="0" w:color="auto"/>
            <w:right w:val="none" w:sz="0" w:space="0" w:color="auto"/>
          </w:divBdr>
          <w:divsChild>
            <w:div w:id="1794858330">
              <w:marLeft w:val="0"/>
              <w:marRight w:val="0"/>
              <w:marTop w:val="0"/>
              <w:marBottom w:val="0"/>
              <w:divBdr>
                <w:top w:val="none" w:sz="0" w:space="0" w:color="auto"/>
                <w:left w:val="none" w:sz="0" w:space="0" w:color="auto"/>
                <w:bottom w:val="none" w:sz="0" w:space="0" w:color="auto"/>
                <w:right w:val="none" w:sz="0" w:space="0" w:color="auto"/>
              </w:divBdr>
              <w:divsChild>
                <w:div w:id="1985431376">
                  <w:marLeft w:val="0"/>
                  <w:marRight w:val="0"/>
                  <w:marTop w:val="0"/>
                  <w:marBottom w:val="0"/>
                  <w:divBdr>
                    <w:top w:val="none" w:sz="0" w:space="0" w:color="auto"/>
                    <w:left w:val="none" w:sz="0" w:space="0" w:color="auto"/>
                    <w:bottom w:val="none" w:sz="0" w:space="0" w:color="auto"/>
                    <w:right w:val="none" w:sz="0" w:space="0" w:color="auto"/>
                  </w:divBdr>
                  <w:divsChild>
                    <w:div w:id="1312828008">
                      <w:marLeft w:val="0"/>
                      <w:marRight w:val="0"/>
                      <w:marTop w:val="0"/>
                      <w:marBottom w:val="0"/>
                      <w:divBdr>
                        <w:top w:val="none" w:sz="0" w:space="0" w:color="auto"/>
                        <w:left w:val="none" w:sz="0" w:space="0" w:color="auto"/>
                        <w:bottom w:val="none" w:sz="0" w:space="0" w:color="auto"/>
                        <w:right w:val="none" w:sz="0" w:space="0" w:color="auto"/>
                      </w:divBdr>
                      <w:divsChild>
                        <w:div w:id="587231846">
                          <w:marLeft w:val="-225"/>
                          <w:marRight w:val="-225"/>
                          <w:marTop w:val="0"/>
                          <w:marBottom w:val="0"/>
                          <w:divBdr>
                            <w:top w:val="none" w:sz="0" w:space="0" w:color="auto"/>
                            <w:left w:val="none" w:sz="0" w:space="0" w:color="auto"/>
                            <w:bottom w:val="none" w:sz="0" w:space="0" w:color="auto"/>
                            <w:right w:val="none" w:sz="0" w:space="0" w:color="auto"/>
                          </w:divBdr>
                          <w:divsChild>
                            <w:div w:id="1307324233">
                              <w:marLeft w:val="0"/>
                              <w:marRight w:val="0"/>
                              <w:marTop w:val="0"/>
                              <w:marBottom w:val="0"/>
                              <w:divBdr>
                                <w:top w:val="none" w:sz="0" w:space="0" w:color="auto"/>
                                <w:left w:val="none" w:sz="0" w:space="0" w:color="auto"/>
                                <w:bottom w:val="none" w:sz="0" w:space="0" w:color="auto"/>
                                <w:right w:val="none" w:sz="0" w:space="0" w:color="auto"/>
                              </w:divBdr>
                              <w:divsChild>
                                <w:div w:id="927807968">
                                  <w:marLeft w:val="0"/>
                                  <w:marRight w:val="0"/>
                                  <w:marTop w:val="0"/>
                                  <w:marBottom w:val="0"/>
                                  <w:divBdr>
                                    <w:top w:val="none" w:sz="0" w:space="0" w:color="auto"/>
                                    <w:left w:val="none" w:sz="0" w:space="0" w:color="auto"/>
                                    <w:bottom w:val="none" w:sz="0" w:space="0" w:color="auto"/>
                                    <w:right w:val="none" w:sz="0" w:space="0" w:color="auto"/>
                                  </w:divBdr>
                                  <w:divsChild>
                                    <w:div w:id="1685789235">
                                      <w:marLeft w:val="0"/>
                                      <w:marRight w:val="0"/>
                                      <w:marTop w:val="0"/>
                                      <w:marBottom w:val="0"/>
                                      <w:divBdr>
                                        <w:top w:val="none" w:sz="0" w:space="0" w:color="auto"/>
                                        <w:left w:val="none" w:sz="0" w:space="0" w:color="auto"/>
                                        <w:bottom w:val="none" w:sz="0" w:space="0" w:color="auto"/>
                                        <w:right w:val="none" w:sz="0" w:space="0" w:color="auto"/>
                                      </w:divBdr>
                                      <w:divsChild>
                                        <w:div w:id="927928145">
                                          <w:marLeft w:val="0"/>
                                          <w:marRight w:val="0"/>
                                          <w:marTop w:val="0"/>
                                          <w:marBottom w:val="0"/>
                                          <w:divBdr>
                                            <w:top w:val="none" w:sz="0" w:space="0" w:color="auto"/>
                                            <w:left w:val="none" w:sz="0" w:space="0" w:color="auto"/>
                                            <w:bottom w:val="none" w:sz="0" w:space="0" w:color="auto"/>
                                            <w:right w:val="none" w:sz="0" w:space="0" w:color="auto"/>
                                          </w:divBdr>
                                        </w:div>
                                        <w:div w:id="2704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2020-09-28T06:24:00Z</dcterms:created>
  <dcterms:modified xsi:type="dcterms:W3CDTF">2020-09-28T06:25:00Z</dcterms:modified>
</cp:coreProperties>
</file>